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diagrams/data4.xml" ContentType="application/vnd.openxmlformats-officedocument.drawingml.diagramData+xml"/>
  <Override PartName="/word/diagrams/layout4.xml" ContentType="application/vnd.openxmlformats-officedocument.drawingml.diagramLayout+xml"/>
  <Override PartName="/word/diagrams/quickStyle4.xml" ContentType="application/vnd.openxmlformats-officedocument.drawingml.diagramStyle+xml"/>
  <Override PartName="/word/diagrams/colors4.xml" ContentType="application/vnd.openxmlformats-officedocument.drawingml.diagramColors+xml"/>
  <Override PartName="/word/diagrams/drawing4.xml" ContentType="application/vnd.ms-office.drawingml.diagramDrawing+xml"/>
  <Override PartName="/word/diagrams/data5.xml" ContentType="application/vnd.openxmlformats-officedocument.drawingml.diagramData+xml"/>
  <Override PartName="/word/diagrams/layout5.xml" ContentType="application/vnd.openxmlformats-officedocument.drawingml.diagramLayout+xml"/>
  <Override PartName="/word/diagrams/quickStyle5.xml" ContentType="application/vnd.openxmlformats-officedocument.drawingml.diagramStyle+xml"/>
  <Override PartName="/word/diagrams/colors5.xml" ContentType="application/vnd.openxmlformats-officedocument.drawingml.diagramColors+xml"/>
  <Override PartName="/word/diagrams/drawing5.xml" ContentType="application/vnd.ms-office.drawingml.diagramDrawing+xml"/>
  <Override PartName="/word/diagrams/data6.xml" ContentType="application/vnd.openxmlformats-officedocument.drawingml.diagramData+xml"/>
  <Override PartName="/word/diagrams/layout6.xml" ContentType="application/vnd.openxmlformats-officedocument.drawingml.diagramLayout+xml"/>
  <Override PartName="/word/diagrams/quickStyle6.xml" ContentType="application/vnd.openxmlformats-officedocument.drawingml.diagramStyle+xml"/>
  <Override PartName="/word/diagrams/colors6.xml" ContentType="application/vnd.openxmlformats-officedocument.drawingml.diagramColors+xml"/>
  <Override PartName="/word/diagrams/drawing6.xml" ContentType="application/vnd.ms-office.drawingml.diagramDrawing+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diagrams/data7.xml" ContentType="application/vnd.openxmlformats-officedocument.drawingml.diagramData+xml"/>
  <Override PartName="/word/diagrams/layout7.xml" ContentType="application/vnd.openxmlformats-officedocument.drawingml.diagramLayout+xml"/>
  <Override PartName="/word/diagrams/quickStyle7.xml" ContentType="application/vnd.openxmlformats-officedocument.drawingml.diagramStyle+xml"/>
  <Override PartName="/word/diagrams/colors7.xml" ContentType="application/vnd.openxmlformats-officedocument.drawingml.diagramColors+xml"/>
  <Override PartName="/word/diagrams/drawing7.xml" ContentType="application/vnd.ms-office.drawingml.diagramDrawing+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E4650A4" w14:textId="77777777" w:rsidR="008B1391" w:rsidRPr="008B1391" w:rsidRDefault="008B1391" w:rsidP="008B1391">
      <w:pPr>
        <w:spacing w:after="0" w:line="240" w:lineRule="auto"/>
        <w:jc w:val="center"/>
        <w:rPr>
          <w:rFonts w:ascii="Times New Roman" w:eastAsia="Calibri" w:hAnsi="Times New Roman" w:cs="Times New Roman"/>
          <w:bCs/>
          <w:sz w:val="28"/>
          <w:szCs w:val="28"/>
        </w:rPr>
      </w:pPr>
      <w:r w:rsidRPr="008B1391">
        <w:rPr>
          <w:rFonts w:ascii="Times New Roman" w:eastAsia="Calibri" w:hAnsi="Times New Roman" w:cs="Times New Roman"/>
          <w:bCs/>
          <w:sz w:val="28"/>
          <w:szCs w:val="28"/>
        </w:rPr>
        <w:t>Автономная некоммерческая организация высшего образования</w:t>
      </w:r>
    </w:p>
    <w:p w14:paraId="3A905841" w14:textId="77777777" w:rsidR="008B1391" w:rsidRPr="008B1391" w:rsidRDefault="008B1391" w:rsidP="008B1391">
      <w:pPr>
        <w:spacing w:after="0" w:line="240" w:lineRule="auto"/>
        <w:jc w:val="center"/>
        <w:rPr>
          <w:rFonts w:ascii="Times New Roman" w:eastAsia="Calibri" w:hAnsi="Times New Roman" w:cs="Times New Roman"/>
          <w:bCs/>
          <w:sz w:val="28"/>
          <w:szCs w:val="28"/>
        </w:rPr>
      </w:pPr>
      <w:r w:rsidRPr="008B1391">
        <w:rPr>
          <w:rFonts w:ascii="Times New Roman" w:eastAsia="Calibri" w:hAnsi="Times New Roman" w:cs="Times New Roman"/>
          <w:bCs/>
          <w:sz w:val="28"/>
          <w:szCs w:val="28"/>
        </w:rPr>
        <w:t>«Российский новый университет»</w:t>
      </w:r>
    </w:p>
    <w:p w14:paraId="4E9683B0" w14:textId="77777777" w:rsidR="008B1391" w:rsidRPr="008B1391" w:rsidRDefault="008B1391" w:rsidP="008B1391">
      <w:pPr>
        <w:spacing w:after="0" w:line="240" w:lineRule="auto"/>
        <w:jc w:val="center"/>
        <w:rPr>
          <w:rFonts w:ascii="Times New Roman" w:eastAsia="Calibri" w:hAnsi="Times New Roman" w:cs="Times New Roman"/>
          <w:sz w:val="28"/>
          <w:szCs w:val="28"/>
        </w:rPr>
      </w:pPr>
    </w:p>
    <w:p w14:paraId="7F46DB1D" w14:textId="77777777" w:rsidR="008B1391" w:rsidRPr="008B1391" w:rsidRDefault="008B1391" w:rsidP="008B1391">
      <w:pPr>
        <w:tabs>
          <w:tab w:val="left" w:leader="underscore" w:pos="5448"/>
        </w:tabs>
        <w:spacing w:after="0" w:line="240" w:lineRule="auto"/>
        <w:jc w:val="center"/>
        <w:rPr>
          <w:rFonts w:ascii="Times New Roman" w:eastAsia="Calibri" w:hAnsi="Times New Roman" w:cs="Times New Roman"/>
          <w:sz w:val="28"/>
          <w:szCs w:val="28"/>
        </w:rPr>
      </w:pPr>
      <w:r w:rsidRPr="008B1391">
        <w:rPr>
          <w:rFonts w:ascii="Times New Roman" w:eastAsia="Calibri" w:hAnsi="Times New Roman" w:cs="Times New Roman"/>
          <w:sz w:val="28"/>
          <w:szCs w:val="28"/>
        </w:rPr>
        <w:t>Институт экономики, управления и финансов</w:t>
      </w:r>
    </w:p>
    <w:p w14:paraId="5C50E21E" w14:textId="77777777" w:rsidR="008B1391" w:rsidRPr="008B1391" w:rsidRDefault="008B1391" w:rsidP="008B1391">
      <w:pPr>
        <w:tabs>
          <w:tab w:val="left" w:leader="underscore" w:pos="5448"/>
        </w:tabs>
        <w:spacing w:after="0" w:line="240" w:lineRule="auto"/>
        <w:jc w:val="center"/>
        <w:rPr>
          <w:rFonts w:ascii="Times New Roman" w:eastAsia="Calibri" w:hAnsi="Times New Roman" w:cs="Times New Roman"/>
          <w:sz w:val="28"/>
          <w:szCs w:val="28"/>
          <w:lang w:eastAsia="ru-RU"/>
        </w:rPr>
      </w:pPr>
      <w:r w:rsidRPr="008B1391">
        <w:rPr>
          <w:rFonts w:ascii="Times New Roman" w:eastAsia="Calibri" w:hAnsi="Times New Roman" w:cs="Times New Roman"/>
          <w:sz w:val="28"/>
          <w:szCs w:val="28"/>
        </w:rPr>
        <w:t>Кафедра таможенного дела</w:t>
      </w:r>
    </w:p>
    <w:p w14:paraId="25FF7909" w14:textId="77777777" w:rsidR="008B1391" w:rsidRPr="008B1391" w:rsidRDefault="008B1391" w:rsidP="008B1391">
      <w:pPr>
        <w:tabs>
          <w:tab w:val="left" w:leader="underscore" w:pos="5448"/>
        </w:tabs>
        <w:spacing w:after="0" w:line="360" w:lineRule="auto"/>
        <w:jc w:val="both"/>
        <w:rPr>
          <w:rFonts w:ascii="Times New Roman" w:eastAsia="Calibri" w:hAnsi="Times New Roman" w:cs="Times New Roman"/>
          <w:sz w:val="28"/>
          <w:szCs w:val="28"/>
        </w:rPr>
      </w:pPr>
    </w:p>
    <w:p w14:paraId="54D30378" w14:textId="77777777" w:rsidR="008B1391" w:rsidRPr="008B1391" w:rsidRDefault="008B1391" w:rsidP="008B1391">
      <w:pPr>
        <w:tabs>
          <w:tab w:val="left" w:leader="underscore" w:pos="5448"/>
        </w:tabs>
        <w:spacing w:after="0" w:line="360" w:lineRule="auto"/>
        <w:jc w:val="both"/>
        <w:rPr>
          <w:rFonts w:ascii="Times New Roman" w:eastAsia="Calibri" w:hAnsi="Times New Roman" w:cs="Times New Roman"/>
          <w:sz w:val="28"/>
          <w:szCs w:val="28"/>
        </w:rPr>
      </w:pPr>
    </w:p>
    <w:p w14:paraId="3E38EB16" w14:textId="77777777" w:rsidR="008B1391" w:rsidRPr="008B1391" w:rsidRDefault="008B1391" w:rsidP="008B1391">
      <w:pPr>
        <w:tabs>
          <w:tab w:val="left" w:leader="underscore" w:pos="-426"/>
        </w:tabs>
        <w:spacing w:after="0" w:line="360" w:lineRule="auto"/>
        <w:jc w:val="center"/>
        <w:rPr>
          <w:rFonts w:ascii="Times New Roman" w:eastAsia="Calibri" w:hAnsi="Times New Roman" w:cs="Times New Roman"/>
          <w:b/>
          <w:sz w:val="28"/>
          <w:szCs w:val="28"/>
        </w:rPr>
      </w:pPr>
      <w:r w:rsidRPr="008B1391">
        <w:rPr>
          <w:rFonts w:ascii="Times New Roman" w:eastAsia="Calibri" w:hAnsi="Times New Roman" w:cs="Times New Roman"/>
          <w:b/>
          <w:sz w:val="28"/>
          <w:szCs w:val="28"/>
        </w:rPr>
        <w:t>ДИПЛОМНАЯ РАБОТА</w:t>
      </w:r>
    </w:p>
    <w:p w14:paraId="289F7253" w14:textId="77777777" w:rsidR="008B1391" w:rsidRPr="008B1391" w:rsidRDefault="008B1391" w:rsidP="008B1391">
      <w:pPr>
        <w:spacing w:after="0" w:line="360" w:lineRule="auto"/>
        <w:jc w:val="both"/>
        <w:rPr>
          <w:rFonts w:ascii="Times New Roman" w:eastAsia="Calibri" w:hAnsi="Times New Roman" w:cs="Times New Roman"/>
          <w:bCs/>
          <w:sz w:val="28"/>
          <w:szCs w:val="28"/>
        </w:rPr>
      </w:pPr>
    </w:p>
    <w:p w14:paraId="07F1B0FF" w14:textId="72475347" w:rsidR="008B1391" w:rsidRPr="008B1391" w:rsidRDefault="008B1391" w:rsidP="008B1391">
      <w:pPr>
        <w:tabs>
          <w:tab w:val="left" w:leader="underscore" w:pos="5448"/>
        </w:tabs>
        <w:spacing w:after="0" w:line="240" w:lineRule="auto"/>
        <w:jc w:val="center"/>
        <w:rPr>
          <w:rFonts w:ascii="Times New Roman" w:eastAsia="Calibri" w:hAnsi="Times New Roman" w:cs="Times New Roman"/>
          <w:sz w:val="28"/>
          <w:szCs w:val="28"/>
          <w:lang w:eastAsia="ru-RU"/>
        </w:rPr>
      </w:pPr>
      <w:r w:rsidRPr="008B1391">
        <w:rPr>
          <w:rFonts w:ascii="Times New Roman" w:eastAsia="Calibri" w:hAnsi="Times New Roman" w:cs="Times New Roman"/>
          <w:sz w:val="28"/>
          <w:szCs w:val="28"/>
        </w:rPr>
        <w:t xml:space="preserve">на тему: </w:t>
      </w:r>
      <w:r w:rsidRPr="00C8705A">
        <w:rPr>
          <w:rFonts w:ascii="Times New Roman" w:eastAsia="Calibri" w:hAnsi="Times New Roman" w:cs="Times New Roman"/>
          <w:sz w:val="28"/>
          <w:szCs w:val="28"/>
        </w:rPr>
        <w:t xml:space="preserve">Определение и контроль таможенной </w:t>
      </w:r>
      <w:r w:rsidR="00CA3384" w:rsidRPr="00C8705A">
        <w:rPr>
          <w:rFonts w:ascii="Times New Roman" w:eastAsia="Calibri" w:hAnsi="Times New Roman" w:cs="Times New Roman"/>
          <w:sz w:val="28"/>
          <w:szCs w:val="28"/>
        </w:rPr>
        <w:t xml:space="preserve">стоимости товаров </w:t>
      </w:r>
      <w:r w:rsidRPr="00C8705A">
        <w:rPr>
          <w:rFonts w:ascii="Times New Roman" w:eastAsia="Calibri" w:hAnsi="Times New Roman" w:cs="Times New Roman"/>
          <w:sz w:val="28"/>
          <w:szCs w:val="28"/>
        </w:rPr>
        <w:t>в государствах- членах ЕАЭС</w:t>
      </w:r>
    </w:p>
    <w:p w14:paraId="5E1FEE1E" w14:textId="77777777" w:rsidR="008B1391" w:rsidRPr="008B1391" w:rsidRDefault="008B1391" w:rsidP="008B1391">
      <w:pPr>
        <w:tabs>
          <w:tab w:val="left" w:leader="underscore" w:pos="5697"/>
        </w:tabs>
        <w:spacing w:after="0" w:line="240" w:lineRule="auto"/>
        <w:jc w:val="both"/>
        <w:rPr>
          <w:rFonts w:ascii="Times New Roman" w:eastAsia="Calibri" w:hAnsi="Times New Roman" w:cs="Times New Roman"/>
          <w:sz w:val="28"/>
          <w:szCs w:val="28"/>
        </w:rPr>
      </w:pPr>
    </w:p>
    <w:p w14:paraId="09FED9AE" w14:textId="77777777" w:rsidR="008B1391" w:rsidRPr="008B1391" w:rsidRDefault="008B1391" w:rsidP="008B1391">
      <w:pPr>
        <w:tabs>
          <w:tab w:val="left" w:leader="underscore" w:pos="5697"/>
        </w:tabs>
        <w:spacing w:after="0" w:line="240" w:lineRule="auto"/>
        <w:jc w:val="both"/>
        <w:rPr>
          <w:rFonts w:ascii="Times New Roman" w:eastAsia="Calibri" w:hAnsi="Times New Roman" w:cs="Times New Roman"/>
          <w:sz w:val="28"/>
          <w:szCs w:val="28"/>
        </w:rPr>
      </w:pPr>
    </w:p>
    <w:p w14:paraId="10F1A774" w14:textId="3E4421AA" w:rsidR="008B1391" w:rsidRPr="008B1391" w:rsidRDefault="008B1391" w:rsidP="008B1391">
      <w:pPr>
        <w:spacing w:after="0" w:line="240" w:lineRule="auto"/>
        <w:ind w:left="4961"/>
        <w:jc w:val="right"/>
        <w:rPr>
          <w:rFonts w:ascii="Times New Roman" w:eastAsia="Calibri" w:hAnsi="Times New Roman" w:cs="Times New Roman"/>
          <w:sz w:val="28"/>
          <w:szCs w:val="28"/>
        </w:rPr>
      </w:pPr>
      <w:r w:rsidRPr="008B1391">
        <w:rPr>
          <w:rFonts w:ascii="Times New Roman" w:eastAsia="Calibri" w:hAnsi="Times New Roman" w:cs="Times New Roman"/>
          <w:sz w:val="28"/>
          <w:szCs w:val="28"/>
        </w:rPr>
        <w:t>Студен</w:t>
      </w:r>
      <w:r w:rsidR="002B2688">
        <w:rPr>
          <w:rFonts w:ascii="Times New Roman" w:eastAsia="Calibri" w:hAnsi="Times New Roman" w:cs="Times New Roman"/>
          <w:sz w:val="28"/>
          <w:szCs w:val="28"/>
        </w:rPr>
        <w:t>т</w:t>
      </w:r>
      <w:r w:rsidRPr="008B1391">
        <w:rPr>
          <w:rFonts w:ascii="Times New Roman" w:eastAsia="Calibri" w:hAnsi="Times New Roman" w:cs="Times New Roman"/>
          <w:sz w:val="28"/>
          <w:szCs w:val="28"/>
        </w:rPr>
        <w:t>а 5 курса</w:t>
      </w:r>
    </w:p>
    <w:p w14:paraId="21B1CC4F" w14:textId="77777777" w:rsidR="008B1391" w:rsidRPr="008B1391" w:rsidRDefault="008B1391" w:rsidP="008B1391">
      <w:pPr>
        <w:spacing w:after="0" w:line="240" w:lineRule="auto"/>
        <w:ind w:left="4961"/>
        <w:jc w:val="right"/>
        <w:rPr>
          <w:rFonts w:ascii="Times New Roman" w:eastAsia="Calibri" w:hAnsi="Times New Roman" w:cs="Times New Roman"/>
          <w:sz w:val="28"/>
          <w:szCs w:val="28"/>
        </w:rPr>
      </w:pPr>
      <w:r w:rsidRPr="008B1391">
        <w:rPr>
          <w:rFonts w:ascii="Times New Roman" w:eastAsia="Calibri" w:hAnsi="Times New Roman" w:cs="Times New Roman"/>
          <w:sz w:val="28"/>
          <w:szCs w:val="28"/>
        </w:rPr>
        <w:t>очной формы обучения</w:t>
      </w:r>
    </w:p>
    <w:p w14:paraId="3CF7AAE5" w14:textId="77777777" w:rsidR="008B1391" w:rsidRPr="008B1391" w:rsidRDefault="008B1391" w:rsidP="008B1391">
      <w:pPr>
        <w:tabs>
          <w:tab w:val="left" w:leader="underscore" w:pos="3990"/>
        </w:tabs>
        <w:spacing w:after="0" w:line="240" w:lineRule="auto"/>
        <w:ind w:left="4961"/>
        <w:jc w:val="right"/>
        <w:rPr>
          <w:rFonts w:ascii="Times New Roman" w:eastAsia="Calibri" w:hAnsi="Times New Roman" w:cs="Times New Roman"/>
          <w:sz w:val="28"/>
          <w:szCs w:val="28"/>
        </w:rPr>
      </w:pPr>
      <w:r w:rsidRPr="008B1391">
        <w:rPr>
          <w:rFonts w:ascii="Times New Roman" w:eastAsia="Calibri" w:hAnsi="Times New Roman" w:cs="Times New Roman"/>
          <w:sz w:val="28"/>
          <w:szCs w:val="28"/>
        </w:rPr>
        <w:t>специальность: Таможенное дело</w:t>
      </w:r>
    </w:p>
    <w:p w14:paraId="0463F5E0" w14:textId="77777777" w:rsidR="008B1391" w:rsidRPr="008B1391" w:rsidRDefault="008B1391" w:rsidP="008B1391">
      <w:pPr>
        <w:tabs>
          <w:tab w:val="left" w:leader="underscore" w:pos="3990"/>
        </w:tabs>
        <w:spacing w:after="0" w:line="240" w:lineRule="auto"/>
        <w:ind w:left="4961"/>
        <w:jc w:val="right"/>
        <w:rPr>
          <w:rFonts w:ascii="Times New Roman" w:eastAsia="Calibri" w:hAnsi="Times New Roman" w:cs="Times New Roman"/>
          <w:sz w:val="28"/>
          <w:szCs w:val="28"/>
        </w:rPr>
      </w:pPr>
      <w:r w:rsidRPr="008B1391">
        <w:rPr>
          <w:rFonts w:ascii="Times New Roman" w:eastAsia="Calibri" w:hAnsi="Times New Roman" w:cs="Times New Roman"/>
          <w:sz w:val="28"/>
          <w:szCs w:val="28"/>
        </w:rPr>
        <w:t xml:space="preserve">специализация: Таможенные платежи </w:t>
      </w:r>
    </w:p>
    <w:p w14:paraId="09DC4E52" w14:textId="77777777" w:rsidR="008B1391" w:rsidRPr="008B1391" w:rsidRDefault="008B1391" w:rsidP="008B1391">
      <w:pPr>
        <w:tabs>
          <w:tab w:val="left" w:leader="underscore" w:pos="3990"/>
        </w:tabs>
        <w:spacing w:after="0" w:line="240" w:lineRule="auto"/>
        <w:ind w:left="4961"/>
        <w:jc w:val="right"/>
        <w:rPr>
          <w:rFonts w:ascii="Times New Roman" w:eastAsia="Calibri" w:hAnsi="Times New Roman" w:cs="Times New Roman"/>
          <w:sz w:val="28"/>
          <w:szCs w:val="28"/>
        </w:rPr>
      </w:pPr>
      <w:r w:rsidRPr="008B1391">
        <w:rPr>
          <w:rFonts w:ascii="Times New Roman" w:eastAsia="Calibri" w:hAnsi="Times New Roman" w:cs="Times New Roman"/>
          <w:sz w:val="28"/>
          <w:szCs w:val="28"/>
        </w:rPr>
        <w:t>и валютное регулирование</w:t>
      </w:r>
    </w:p>
    <w:p w14:paraId="63B55F40" w14:textId="77777777" w:rsidR="008B1391" w:rsidRPr="008B1391" w:rsidRDefault="008B1391" w:rsidP="008B1391">
      <w:pPr>
        <w:tabs>
          <w:tab w:val="left" w:leader="underscore" w:pos="3990"/>
        </w:tabs>
        <w:spacing w:after="0" w:line="240" w:lineRule="auto"/>
        <w:ind w:left="4961"/>
        <w:jc w:val="right"/>
        <w:rPr>
          <w:rFonts w:ascii="Times New Roman" w:eastAsia="Times New Roman" w:hAnsi="Times New Roman" w:cs="Times New Roman"/>
          <w:sz w:val="28"/>
          <w:szCs w:val="28"/>
        </w:rPr>
      </w:pPr>
      <w:r w:rsidRPr="008B1391">
        <w:rPr>
          <w:rFonts w:ascii="Times New Roman" w:eastAsia="Calibri" w:hAnsi="Times New Roman" w:cs="Times New Roman"/>
          <w:sz w:val="28"/>
          <w:szCs w:val="28"/>
        </w:rPr>
        <w:t xml:space="preserve"> </w:t>
      </w:r>
      <w:r w:rsidRPr="008B1391">
        <w:rPr>
          <w:rFonts w:ascii="Times New Roman" w:eastAsia="Times New Roman" w:hAnsi="Times New Roman" w:cs="Times New Roman"/>
          <w:sz w:val="28"/>
          <w:szCs w:val="28"/>
          <w:lang w:eastAsia="ru-RU"/>
        </w:rPr>
        <w:t>Калоева Давида Александровича</w:t>
      </w:r>
    </w:p>
    <w:p w14:paraId="401414AF" w14:textId="77777777" w:rsidR="008B1391" w:rsidRPr="008B1391" w:rsidRDefault="008B1391" w:rsidP="008B1391">
      <w:pPr>
        <w:tabs>
          <w:tab w:val="left" w:leader="underscore" w:pos="6150"/>
        </w:tabs>
        <w:spacing w:after="0" w:line="288" w:lineRule="auto"/>
        <w:ind w:left="4961"/>
        <w:jc w:val="both"/>
        <w:rPr>
          <w:rFonts w:ascii="Times New Roman" w:eastAsia="Calibri" w:hAnsi="Times New Roman" w:cs="Times New Roman"/>
          <w:sz w:val="28"/>
          <w:szCs w:val="28"/>
          <w:lang w:eastAsia="ru-RU"/>
        </w:rPr>
      </w:pPr>
    </w:p>
    <w:p w14:paraId="5D6A4FC5" w14:textId="77777777" w:rsidR="008B1391" w:rsidRPr="008B1391" w:rsidRDefault="008B1391" w:rsidP="008B1391">
      <w:pPr>
        <w:tabs>
          <w:tab w:val="left" w:leader="underscore" w:pos="6150"/>
        </w:tabs>
        <w:spacing w:after="0" w:line="288" w:lineRule="auto"/>
        <w:ind w:left="4961"/>
        <w:jc w:val="both"/>
        <w:rPr>
          <w:rFonts w:ascii="Times New Roman" w:eastAsia="Calibri" w:hAnsi="Times New Roman" w:cs="Times New Roman"/>
          <w:sz w:val="28"/>
          <w:szCs w:val="28"/>
          <w:lang w:eastAsia="ru-RU"/>
        </w:rPr>
      </w:pPr>
    </w:p>
    <w:p w14:paraId="52831C5F" w14:textId="77777777" w:rsidR="008B1391" w:rsidRPr="008B1391" w:rsidRDefault="008B1391" w:rsidP="008B1391">
      <w:pPr>
        <w:spacing w:after="0" w:line="240" w:lineRule="auto"/>
        <w:ind w:left="4961"/>
        <w:jc w:val="right"/>
        <w:rPr>
          <w:rFonts w:ascii="Times New Roman" w:eastAsia="Calibri" w:hAnsi="Times New Roman" w:cs="Times New Roman"/>
          <w:sz w:val="28"/>
          <w:szCs w:val="28"/>
        </w:rPr>
      </w:pPr>
      <w:r w:rsidRPr="008B1391">
        <w:rPr>
          <w:rFonts w:ascii="Times New Roman" w:eastAsia="Calibri" w:hAnsi="Times New Roman" w:cs="Times New Roman"/>
          <w:sz w:val="28"/>
          <w:szCs w:val="28"/>
        </w:rPr>
        <w:t>Руководитель:</w:t>
      </w:r>
    </w:p>
    <w:p w14:paraId="0AE44042" w14:textId="77777777" w:rsidR="008B1391" w:rsidRPr="008B1391" w:rsidRDefault="008B1391" w:rsidP="008B1391">
      <w:pPr>
        <w:tabs>
          <w:tab w:val="left" w:pos="4820"/>
          <w:tab w:val="left" w:pos="5245"/>
        </w:tabs>
        <w:spacing w:after="0" w:line="240" w:lineRule="auto"/>
        <w:ind w:left="4961"/>
        <w:jc w:val="right"/>
        <w:rPr>
          <w:rFonts w:ascii="Times New Roman" w:eastAsia="Calibri" w:hAnsi="Times New Roman" w:cs="Times New Roman"/>
          <w:sz w:val="28"/>
          <w:szCs w:val="28"/>
        </w:rPr>
      </w:pPr>
      <w:r w:rsidRPr="008B1391">
        <w:rPr>
          <w:rFonts w:ascii="Times New Roman" w:eastAsia="Calibri" w:hAnsi="Times New Roman" w:cs="Times New Roman"/>
          <w:sz w:val="28"/>
          <w:szCs w:val="28"/>
        </w:rPr>
        <w:t xml:space="preserve"> </w:t>
      </w:r>
      <w:proofErr w:type="spellStart"/>
      <w:r w:rsidRPr="008B1391">
        <w:rPr>
          <w:rFonts w:ascii="Times New Roman" w:eastAsia="Calibri" w:hAnsi="Times New Roman" w:cs="Times New Roman"/>
          <w:sz w:val="28"/>
          <w:szCs w:val="28"/>
        </w:rPr>
        <w:t>к.п.н</w:t>
      </w:r>
      <w:proofErr w:type="spellEnd"/>
      <w:r w:rsidRPr="008B1391">
        <w:rPr>
          <w:rFonts w:ascii="Times New Roman" w:eastAsia="Calibri" w:hAnsi="Times New Roman" w:cs="Times New Roman"/>
          <w:sz w:val="28"/>
          <w:szCs w:val="28"/>
        </w:rPr>
        <w:t xml:space="preserve">., доцент </w:t>
      </w:r>
    </w:p>
    <w:p w14:paraId="7181CBFC" w14:textId="77777777" w:rsidR="008B1391" w:rsidRPr="008B1391" w:rsidRDefault="008B1391" w:rsidP="008B1391">
      <w:pPr>
        <w:tabs>
          <w:tab w:val="left" w:pos="4820"/>
          <w:tab w:val="left" w:pos="5245"/>
        </w:tabs>
        <w:spacing w:after="0" w:line="240" w:lineRule="auto"/>
        <w:ind w:left="4961"/>
        <w:jc w:val="right"/>
        <w:rPr>
          <w:rFonts w:ascii="Times New Roman" w:eastAsia="Calibri" w:hAnsi="Times New Roman" w:cs="Times New Roman"/>
          <w:sz w:val="28"/>
          <w:szCs w:val="28"/>
        </w:rPr>
      </w:pPr>
      <w:r w:rsidRPr="008B1391">
        <w:rPr>
          <w:rFonts w:ascii="Times New Roman" w:eastAsia="Calibri" w:hAnsi="Times New Roman" w:cs="Times New Roman"/>
          <w:sz w:val="28"/>
          <w:szCs w:val="28"/>
        </w:rPr>
        <w:t>Рустамова Ирада Талятовна</w:t>
      </w:r>
    </w:p>
    <w:p w14:paraId="1B7B829A" w14:textId="77777777" w:rsidR="008B1391" w:rsidRPr="008B1391" w:rsidRDefault="008B1391" w:rsidP="008B1391">
      <w:pPr>
        <w:spacing w:after="0" w:line="240" w:lineRule="auto"/>
        <w:ind w:left="4961"/>
        <w:jc w:val="right"/>
        <w:rPr>
          <w:rFonts w:ascii="Times New Roman" w:eastAsia="Calibri" w:hAnsi="Times New Roman" w:cs="Times New Roman"/>
          <w:sz w:val="28"/>
          <w:szCs w:val="28"/>
        </w:rPr>
      </w:pPr>
    </w:p>
    <w:p w14:paraId="6C4E11C1" w14:textId="77777777" w:rsidR="008B1391" w:rsidRPr="008B1391" w:rsidRDefault="008B1391" w:rsidP="008B1391">
      <w:pPr>
        <w:spacing w:after="0" w:line="240" w:lineRule="auto"/>
        <w:ind w:left="4961"/>
        <w:jc w:val="right"/>
        <w:rPr>
          <w:rFonts w:ascii="Times New Roman" w:eastAsia="Calibri" w:hAnsi="Times New Roman" w:cs="Times New Roman"/>
          <w:sz w:val="28"/>
          <w:szCs w:val="28"/>
        </w:rPr>
      </w:pPr>
    </w:p>
    <w:p w14:paraId="0A0C01B7" w14:textId="77777777" w:rsidR="008B1391" w:rsidRPr="008B1391" w:rsidRDefault="008B1391" w:rsidP="008B1391">
      <w:pPr>
        <w:spacing w:after="0" w:line="240" w:lineRule="auto"/>
        <w:ind w:left="4961"/>
        <w:jc w:val="right"/>
        <w:rPr>
          <w:rFonts w:ascii="Times New Roman" w:eastAsia="Calibri" w:hAnsi="Times New Roman" w:cs="Times New Roman"/>
          <w:sz w:val="28"/>
          <w:szCs w:val="28"/>
        </w:rPr>
      </w:pPr>
    </w:p>
    <w:p w14:paraId="09AA92D7" w14:textId="77777777" w:rsidR="008B1391" w:rsidRPr="008B1391" w:rsidRDefault="008B1391" w:rsidP="008B1391">
      <w:pPr>
        <w:spacing w:after="0" w:line="240" w:lineRule="auto"/>
        <w:ind w:left="4961"/>
        <w:jc w:val="right"/>
        <w:rPr>
          <w:rFonts w:ascii="Times New Roman" w:eastAsia="Calibri" w:hAnsi="Times New Roman" w:cs="Times New Roman"/>
          <w:sz w:val="28"/>
          <w:szCs w:val="28"/>
        </w:rPr>
      </w:pPr>
    </w:p>
    <w:p w14:paraId="6FCFEEE9" w14:textId="77777777" w:rsidR="008B1391" w:rsidRPr="008B1391" w:rsidRDefault="008B1391" w:rsidP="008B1391">
      <w:pPr>
        <w:spacing w:after="0" w:line="240" w:lineRule="auto"/>
        <w:ind w:left="4961"/>
        <w:jc w:val="right"/>
        <w:rPr>
          <w:rFonts w:ascii="Times New Roman" w:eastAsia="Calibri" w:hAnsi="Times New Roman" w:cs="Times New Roman"/>
          <w:sz w:val="28"/>
          <w:szCs w:val="28"/>
        </w:rPr>
      </w:pPr>
      <w:r w:rsidRPr="008B1391">
        <w:rPr>
          <w:rFonts w:ascii="Times New Roman" w:eastAsia="Calibri" w:hAnsi="Times New Roman" w:cs="Times New Roman"/>
          <w:sz w:val="28"/>
          <w:szCs w:val="28"/>
        </w:rPr>
        <w:t>Допустить к защите:</w:t>
      </w:r>
    </w:p>
    <w:p w14:paraId="170D5250" w14:textId="77777777" w:rsidR="008B1391" w:rsidRPr="008B1391" w:rsidRDefault="008B1391" w:rsidP="008B1391">
      <w:pPr>
        <w:spacing w:after="0" w:line="240" w:lineRule="auto"/>
        <w:ind w:left="4961"/>
        <w:jc w:val="right"/>
        <w:rPr>
          <w:rFonts w:ascii="Times New Roman" w:eastAsia="Calibri" w:hAnsi="Times New Roman" w:cs="Times New Roman"/>
          <w:sz w:val="28"/>
          <w:szCs w:val="28"/>
        </w:rPr>
      </w:pPr>
      <w:r w:rsidRPr="008B1391">
        <w:rPr>
          <w:rFonts w:ascii="Times New Roman" w:eastAsia="Calibri" w:hAnsi="Times New Roman" w:cs="Times New Roman"/>
          <w:sz w:val="28"/>
          <w:szCs w:val="28"/>
        </w:rPr>
        <w:t>заведующая кафедрой</w:t>
      </w:r>
    </w:p>
    <w:p w14:paraId="751B8FAA" w14:textId="77777777" w:rsidR="008B1391" w:rsidRPr="008B1391" w:rsidRDefault="008B1391" w:rsidP="008B1391">
      <w:pPr>
        <w:spacing w:after="0" w:line="240" w:lineRule="auto"/>
        <w:ind w:left="4961"/>
        <w:jc w:val="right"/>
        <w:rPr>
          <w:rFonts w:ascii="Times New Roman" w:eastAsia="Calibri" w:hAnsi="Times New Roman" w:cs="Times New Roman"/>
          <w:sz w:val="28"/>
          <w:szCs w:val="28"/>
        </w:rPr>
      </w:pPr>
      <w:r w:rsidRPr="008B1391">
        <w:rPr>
          <w:rFonts w:ascii="Times New Roman" w:eastAsia="Calibri" w:hAnsi="Times New Roman" w:cs="Times New Roman"/>
          <w:sz w:val="28"/>
          <w:szCs w:val="28"/>
        </w:rPr>
        <w:t>_________________ И.Т. Рустамова</w:t>
      </w:r>
    </w:p>
    <w:p w14:paraId="3D636D56" w14:textId="77777777" w:rsidR="008B1391" w:rsidRPr="008B1391" w:rsidRDefault="008B1391" w:rsidP="008B1391">
      <w:pPr>
        <w:spacing w:after="0" w:line="240" w:lineRule="auto"/>
        <w:ind w:left="4961"/>
        <w:jc w:val="right"/>
        <w:rPr>
          <w:rFonts w:ascii="Times New Roman" w:eastAsia="Calibri" w:hAnsi="Times New Roman" w:cs="Times New Roman"/>
          <w:sz w:val="28"/>
          <w:szCs w:val="28"/>
        </w:rPr>
      </w:pPr>
    </w:p>
    <w:p w14:paraId="2A664A65" w14:textId="77777777" w:rsidR="008B1391" w:rsidRPr="008B1391" w:rsidRDefault="008B1391" w:rsidP="008B1391">
      <w:pPr>
        <w:spacing w:after="0" w:line="240" w:lineRule="auto"/>
        <w:ind w:left="4961"/>
        <w:jc w:val="right"/>
        <w:rPr>
          <w:rFonts w:ascii="Times New Roman" w:eastAsia="Calibri" w:hAnsi="Times New Roman" w:cs="Times New Roman"/>
          <w:sz w:val="28"/>
          <w:szCs w:val="28"/>
        </w:rPr>
      </w:pPr>
      <w:r w:rsidRPr="008B1391">
        <w:rPr>
          <w:rFonts w:ascii="Times New Roman" w:eastAsia="Calibri" w:hAnsi="Times New Roman" w:cs="Times New Roman"/>
          <w:sz w:val="28"/>
          <w:szCs w:val="28"/>
        </w:rPr>
        <w:t>«____</w:t>
      </w:r>
      <w:r w:rsidRPr="008B1391">
        <w:rPr>
          <w:rFonts w:ascii="Times New Roman" w:eastAsia="Calibri" w:hAnsi="Times New Roman" w:cs="Times New Roman"/>
          <w:sz w:val="28"/>
          <w:szCs w:val="28"/>
          <w:shd w:val="clear" w:color="auto" w:fill="FFFFFF"/>
        </w:rPr>
        <w:t>» _________________ 2024 г.</w:t>
      </w:r>
    </w:p>
    <w:p w14:paraId="3140C97A" w14:textId="77777777" w:rsidR="008B1391" w:rsidRPr="008B1391" w:rsidRDefault="008B1391" w:rsidP="008B1391">
      <w:pPr>
        <w:tabs>
          <w:tab w:val="left" w:leader="underscore" w:pos="3330"/>
        </w:tabs>
        <w:spacing w:after="0" w:line="360" w:lineRule="auto"/>
        <w:ind w:left="5954"/>
        <w:jc w:val="both"/>
        <w:rPr>
          <w:rFonts w:ascii="Times New Roman" w:eastAsia="Calibri" w:hAnsi="Times New Roman" w:cs="Times New Roman"/>
          <w:sz w:val="28"/>
          <w:szCs w:val="28"/>
        </w:rPr>
      </w:pPr>
    </w:p>
    <w:p w14:paraId="1D7E1D6C" w14:textId="77777777" w:rsidR="008B1391" w:rsidRPr="008B1391" w:rsidRDefault="008B1391" w:rsidP="008B1391">
      <w:pPr>
        <w:tabs>
          <w:tab w:val="left" w:leader="underscore" w:pos="3330"/>
        </w:tabs>
        <w:spacing w:after="0" w:line="360" w:lineRule="auto"/>
        <w:ind w:left="5954"/>
        <w:jc w:val="both"/>
        <w:rPr>
          <w:rFonts w:ascii="Times New Roman" w:eastAsia="Calibri" w:hAnsi="Times New Roman" w:cs="Times New Roman"/>
          <w:sz w:val="28"/>
          <w:szCs w:val="28"/>
        </w:rPr>
      </w:pPr>
    </w:p>
    <w:p w14:paraId="0A3B7262" w14:textId="77777777" w:rsidR="008B1391" w:rsidRPr="008B1391" w:rsidRDefault="008B1391" w:rsidP="008B1391">
      <w:pPr>
        <w:tabs>
          <w:tab w:val="left" w:leader="underscore" w:pos="3330"/>
        </w:tabs>
        <w:spacing w:after="0" w:line="360" w:lineRule="auto"/>
        <w:ind w:left="5954"/>
        <w:jc w:val="both"/>
        <w:rPr>
          <w:rFonts w:ascii="Times New Roman" w:eastAsia="Calibri" w:hAnsi="Times New Roman" w:cs="Times New Roman"/>
          <w:sz w:val="28"/>
          <w:szCs w:val="28"/>
        </w:rPr>
      </w:pPr>
    </w:p>
    <w:p w14:paraId="259FCB48" w14:textId="77777777" w:rsidR="008B1391" w:rsidRPr="008B1391" w:rsidRDefault="008B1391" w:rsidP="008B1391">
      <w:pPr>
        <w:tabs>
          <w:tab w:val="left" w:leader="underscore" w:pos="3330"/>
          <w:tab w:val="left" w:pos="4395"/>
        </w:tabs>
        <w:spacing w:after="0" w:line="360" w:lineRule="auto"/>
        <w:jc w:val="center"/>
        <w:rPr>
          <w:rFonts w:ascii="Times New Roman" w:eastAsia="Calibri" w:hAnsi="Times New Roman" w:cs="Times New Roman"/>
          <w:sz w:val="28"/>
          <w:szCs w:val="28"/>
        </w:rPr>
      </w:pPr>
      <w:r w:rsidRPr="008B1391">
        <w:rPr>
          <w:rFonts w:ascii="Times New Roman" w:eastAsia="Calibri" w:hAnsi="Times New Roman" w:cs="Times New Roman"/>
          <w:sz w:val="28"/>
          <w:szCs w:val="28"/>
        </w:rPr>
        <w:t>Москва</w:t>
      </w:r>
    </w:p>
    <w:p w14:paraId="7E464D0A" w14:textId="77777777" w:rsidR="008B1391" w:rsidRPr="008B1391" w:rsidRDefault="008B1391" w:rsidP="008B1391">
      <w:pPr>
        <w:spacing w:line="240" w:lineRule="auto"/>
        <w:jc w:val="center"/>
        <w:rPr>
          <w:rFonts w:ascii="Times New Roman" w:eastAsia="Calibri" w:hAnsi="Times New Roman" w:cs="Times New Roman"/>
          <w:sz w:val="28"/>
          <w:szCs w:val="28"/>
        </w:rPr>
      </w:pPr>
      <w:r w:rsidRPr="008B1391">
        <w:rPr>
          <w:rFonts w:ascii="Times New Roman" w:eastAsia="Calibri" w:hAnsi="Times New Roman" w:cs="Times New Roman"/>
          <w:sz w:val="28"/>
          <w:szCs w:val="28"/>
        </w:rPr>
        <w:t>2024 г.</w:t>
      </w:r>
      <w:r w:rsidRPr="008B1391">
        <w:rPr>
          <w:rFonts w:ascii="Times New Roman" w:eastAsia="Calibri" w:hAnsi="Times New Roman" w:cs="Times New Roman"/>
          <w:sz w:val="28"/>
          <w:szCs w:val="28"/>
        </w:rPr>
        <w:br w:type="page"/>
      </w:r>
    </w:p>
    <w:sdt>
      <w:sdtPr>
        <w:rPr>
          <w:rFonts w:asciiTheme="minorHAnsi" w:eastAsiaTheme="minorHAnsi" w:hAnsiTheme="minorHAnsi" w:cstheme="minorBidi"/>
          <w:b w:val="0"/>
          <w:bCs w:val="0"/>
          <w:color w:val="auto"/>
          <w:sz w:val="22"/>
          <w:szCs w:val="22"/>
          <w:lang w:eastAsia="en-US"/>
        </w:rPr>
        <w:id w:val="-210340814"/>
        <w:docPartObj>
          <w:docPartGallery w:val="Table of Contents"/>
          <w:docPartUnique/>
        </w:docPartObj>
      </w:sdtPr>
      <w:sdtContent>
        <w:p w14:paraId="6A066833" w14:textId="325831FD" w:rsidR="008B1391" w:rsidRPr="00B14765" w:rsidRDefault="00B14765" w:rsidP="00B14765">
          <w:pPr>
            <w:pStyle w:val="a9"/>
            <w:spacing w:line="288" w:lineRule="auto"/>
            <w:jc w:val="center"/>
            <w:rPr>
              <w:rFonts w:ascii="Times New Roman" w:hAnsi="Times New Roman" w:cs="Times New Roman"/>
              <w:color w:val="auto"/>
            </w:rPr>
          </w:pPr>
          <w:r w:rsidRPr="00B14765">
            <w:rPr>
              <w:rFonts w:ascii="Times New Roman" w:hAnsi="Times New Roman" w:cs="Times New Roman"/>
              <w:color w:val="auto"/>
            </w:rPr>
            <w:t>СОДЕРЖАНИЕ</w:t>
          </w:r>
        </w:p>
        <w:p w14:paraId="268BB368" w14:textId="77777777" w:rsidR="00B14765" w:rsidRPr="00B14765" w:rsidRDefault="00B14765" w:rsidP="00B14765">
          <w:pPr>
            <w:rPr>
              <w:lang w:eastAsia="ru-RU"/>
            </w:rPr>
          </w:pPr>
        </w:p>
        <w:p w14:paraId="50A05BFB" w14:textId="05CF5722" w:rsidR="00B14765" w:rsidRPr="00B14765" w:rsidRDefault="008B1391">
          <w:pPr>
            <w:pStyle w:val="13"/>
            <w:tabs>
              <w:tab w:val="right" w:leader="dot" w:pos="9627"/>
            </w:tabs>
            <w:rPr>
              <w:rFonts w:ascii="Times New Roman" w:eastAsiaTheme="minorEastAsia" w:hAnsi="Times New Roman" w:cs="Times New Roman"/>
              <w:noProof/>
              <w:sz w:val="28"/>
              <w:szCs w:val="28"/>
              <w:lang w:eastAsia="ru-RU"/>
            </w:rPr>
          </w:pPr>
          <w:r w:rsidRPr="00B14765">
            <w:rPr>
              <w:rFonts w:ascii="Times New Roman" w:hAnsi="Times New Roman" w:cs="Times New Roman"/>
              <w:sz w:val="28"/>
              <w:szCs w:val="28"/>
            </w:rPr>
            <w:fldChar w:fldCharType="begin"/>
          </w:r>
          <w:r w:rsidRPr="00B14765">
            <w:rPr>
              <w:rFonts w:ascii="Times New Roman" w:hAnsi="Times New Roman" w:cs="Times New Roman"/>
              <w:sz w:val="28"/>
              <w:szCs w:val="28"/>
            </w:rPr>
            <w:instrText xml:space="preserve"> TOC \o "1-3" \h \z \u </w:instrText>
          </w:r>
          <w:r w:rsidRPr="00B14765">
            <w:rPr>
              <w:rFonts w:ascii="Times New Roman" w:hAnsi="Times New Roman" w:cs="Times New Roman"/>
              <w:sz w:val="28"/>
              <w:szCs w:val="28"/>
            </w:rPr>
            <w:fldChar w:fldCharType="separate"/>
          </w:r>
          <w:hyperlink w:anchor="_Toc152675669" w:history="1">
            <w:r w:rsidR="00B14765" w:rsidRPr="00B14765">
              <w:rPr>
                <w:rStyle w:val="ae"/>
                <w:rFonts w:ascii="Times New Roman" w:hAnsi="Times New Roman" w:cs="Times New Roman"/>
                <w:noProof/>
                <w:sz w:val="28"/>
                <w:szCs w:val="28"/>
              </w:rPr>
              <w:t>Глава 1. Теоретические и организационно-правовые основы таможенной оценки товаров</w:t>
            </w:r>
            <w:r w:rsidR="00B14765" w:rsidRPr="00B14765">
              <w:rPr>
                <w:rFonts w:ascii="Times New Roman" w:hAnsi="Times New Roman" w:cs="Times New Roman"/>
                <w:noProof/>
                <w:webHidden/>
                <w:sz w:val="28"/>
                <w:szCs w:val="28"/>
              </w:rPr>
              <w:tab/>
            </w:r>
            <w:r w:rsidR="00B14765" w:rsidRPr="00B14765">
              <w:rPr>
                <w:rFonts w:ascii="Times New Roman" w:hAnsi="Times New Roman" w:cs="Times New Roman"/>
                <w:noProof/>
                <w:webHidden/>
                <w:sz w:val="28"/>
                <w:szCs w:val="28"/>
              </w:rPr>
              <w:fldChar w:fldCharType="begin"/>
            </w:r>
            <w:r w:rsidR="00B14765" w:rsidRPr="00B14765">
              <w:rPr>
                <w:rFonts w:ascii="Times New Roman" w:hAnsi="Times New Roman" w:cs="Times New Roman"/>
                <w:noProof/>
                <w:webHidden/>
                <w:sz w:val="28"/>
                <w:szCs w:val="28"/>
              </w:rPr>
              <w:instrText xml:space="preserve"> PAGEREF _Toc152675669 \h </w:instrText>
            </w:r>
            <w:r w:rsidR="00B14765" w:rsidRPr="00B14765">
              <w:rPr>
                <w:rFonts w:ascii="Times New Roman" w:hAnsi="Times New Roman" w:cs="Times New Roman"/>
                <w:noProof/>
                <w:webHidden/>
                <w:sz w:val="28"/>
                <w:szCs w:val="28"/>
              </w:rPr>
            </w:r>
            <w:r w:rsidR="00B14765" w:rsidRPr="00B14765">
              <w:rPr>
                <w:rFonts w:ascii="Times New Roman" w:hAnsi="Times New Roman" w:cs="Times New Roman"/>
                <w:noProof/>
                <w:webHidden/>
                <w:sz w:val="28"/>
                <w:szCs w:val="28"/>
              </w:rPr>
              <w:fldChar w:fldCharType="separate"/>
            </w:r>
            <w:r w:rsidR="00B14765" w:rsidRPr="00B14765">
              <w:rPr>
                <w:rFonts w:ascii="Times New Roman" w:hAnsi="Times New Roman" w:cs="Times New Roman"/>
                <w:noProof/>
                <w:webHidden/>
                <w:sz w:val="28"/>
                <w:szCs w:val="28"/>
              </w:rPr>
              <w:t>7</w:t>
            </w:r>
            <w:r w:rsidR="00B14765" w:rsidRPr="00B14765">
              <w:rPr>
                <w:rFonts w:ascii="Times New Roman" w:hAnsi="Times New Roman" w:cs="Times New Roman"/>
                <w:noProof/>
                <w:webHidden/>
                <w:sz w:val="28"/>
                <w:szCs w:val="28"/>
              </w:rPr>
              <w:fldChar w:fldCharType="end"/>
            </w:r>
          </w:hyperlink>
        </w:p>
        <w:p w14:paraId="32F57FBB" w14:textId="53E34848" w:rsidR="00B14765" w:rsidRPr="00B14765" w:rsidRDefault="00000000">
          <w:pPr>
            <w:pStyle w:val="13"/>
            <w:tabs>
              <w:tab w:val="right" w:leader="dot" w:pos="9627"/>
            </w:tabs>
            <w:rPr>
              <w:rFonts w:ascii="Times New Roman" w:eastAsiaTheme="minorEastAsia" w:hAnsi="Times New Roman" w:cs="Times New Roman"/>
              <w:noProof/>
              <w:sz w:val="28"/>
              <w:szCs w:val="28"/>
              <w:lang w:eastAsia="ru-RU"/>
            </w:rPr>
          </w:pPr>
          <w:hyperlink w:anchor="_Toc152675670" w:history="1">
            <w:r w:rsidR="00B14765" w:rsidRPr="00B14765">
              <w:rPr>
                <w:rStyle w:val="ae"/>
                <w:rFonts w:ascii="Times New Roman" w:hAnsi="Times New Roman" w:cs="Times New Roman"/>
                <w:noProof/>
                <w:sz w:val="28"/>
                <w:szCs w:val="28"/>
              </w:rPr>
              <w:t>1.1. Общая характеристика, сущность и методы определения таможенной стоимости</w:t>
            </w:r>
            <w:r w:rsidR="00B14765" w:rsidRPr="00B14765">
              <w:rPr>
                <w:rFonts w:ascii="Times New Roman" w:hAnsi="Times New Roman" w:cs="Times New Roman"/>
                <w:noProof/>
                <w:webHidden/>
                <w:sz w:val="28"/>
                <w:szCs w:val="28"/>
              </w:rPr>
              <w:tab/>
            </w:r>
            <w:r w:rsidR="00B14765" w:rsidRPr="00B14765">
              <w:rPr>
                <w:rFonts w:ascii="Times New Roman" w:hAnsi="Times New Roman" w:cs="Times New Roman"/>
                <w:noProof/>
                <w:webHidden/>
                <w:sz w:val="28"/>
                <w:szCs w:val="28"/>
              </w:rPr>
              <w:fldChar w:fldCharType="begin"/>
            </w:r>
            <w:r w:rsidR="00B14765" w:rsidRPr="00B14765">
              <w:rPr>
                <w:rFonts w:ascii="Times New Roman" w:hAnsi="Times New Roman" w:cs="Times New Roman"/>
                <w:noProof/>
                <w:webHidden/>
                <w:sz w:val="28"/>
                <w:szCs w:val="28"/>
              </w:rPr>
              <w:instrText xml:space="preserve"> PAGEREF _Toc152675670 \h </w:instrText>
            </w:r>
            <w:r w:rsidR="00B14765" w:rsidRPr="00B14765">
              <w:rPr>
                <w:rFonts w:ascii="Times New Roman" w:hAnsi="Times New Roman" w:cs="Times New Roman"/>
                <w:noProof/>
                <w:webHidden/>
                <w:sz w:val="28"/>
                <w:szCs w:val="28"/>
              </w:rPr>
            </w:r>
            <w:r w:rsidR="00B14765" w:rsidRPr="00B14765">
              <w:rPr>
                <w:rFonts w:ascii="Times New Roman" w:hAnsi="Times New Roman" w:cs="Times New Roman"/>
                <w:noProof/>
                <w:webHidden/>
                <w:sz w:val="28"/>
                <w:szCs w:val="28"/>
              </w:rPr>
              <w:fldChar w:fldCharType="separate"/>
            </w:r>
            <w:r w:rsidR="00B14765" w:rsidRPr="00B14765">
              <w:rPr>
                <w:rFonts w:ascii="Times New Roman" w:hAnsi="Times New Roman" w:cs="Times New Roman"/>
                <w:noProof/>
                <w:webHidden/>
                <w:sz w:val="28"/>
                <w:szCs w:val="28"/>
              </w:rPr>
              <w:t>7</w:t>
            </w:r>
            <w:r w:rsidR="00B14765" w:rsidRPr="00B14765">
              <w:rPr>
                <w:rFonts w:ascii="Times New Roman" w:hAnsi="Times New Roman" w:cs="Times New Roman"/>
                <w:noProof/>
                <w:webHidden/>
                <w:sz w:val="28"/>
                <w:szCs w:val="28"/>
              </w:rPr>
              <w:fldChar w:fldCharType="end"/>
            </w:r>
          </w:hyperlink>
        </w:p>
        <w:p w14:paraId="0F31F0B8" w14:textId="3EB82D96" w:rsidR="00B14765" w:rsidRPr="00B14765" w:rsidRDefault="00000000" w:rsidP="00B14765">
          <w:pPr>
            <w:pStyle w:val="3"/>
            <w:tabs>
              <w:tab w:val="right" w:leader="dot" w:pos="9627"/>
            </w:tabs>
            <w:ind w:left="0"/>
            <w:rPr>
              <w:rFonts w:ascii="Times New Roman" w:hAnsi="Times New Roman" w:cs="Times New Roman"/>
              <w:noProof/>
              <w:sz w:val="28"/>
              <w:szCs w:val="28"/>
            </w:rPr>
          </w:pPr>
          <w:hyperlink w:anchor="_Toc152675671" w:history="1">
            <w:r w:rsidR="00B14765" w:rsidRPr="00B14765">
              <w:rPr>
                <w:rStyle w:val="ae"/>
                <w:rFonts w:ascii="Times New Roman" w:eastAsia="Times New Roman" w:hAnsi="Times New Roman" w:cs="Times New Roman"/>
                <w:bCs/>
                <w:noProof/>
                <w:sz w:val="28"/>
                <w:szCs w:val="28"/>
              </w:rPr>
              <w:t xml:space="preserve">1.2. </w:t>
            </w:r>
            <w:r w:rsidR="00B14765" w:rsidRPr="00B14765">
              <w:rPr>
                <w:rStyle w:val="ae"/>
                <w:rFonts w:ascii="Times New Roman" w:eastAsiaTheme="majorEastAsia" w:hAnsi="Times New Roman" w:cs="Times New Roman"/>
                <w:noProof/>
                <w:sz w:val="28"/>
                <w:szCs w:val="28"/>
              </w:rPr>
              <w:t>Контроль таможенной стоимости товаров как элемент таможенного контроля: сущность, значение, цели и задачи</w:t>
            </w:r>
            <w:r w:rsidR="00B14765" w:rsidRPr="00B14765">
              <w:rPr>
                <w:rFonts w:ascii="Times New Roman" w:hAnsi="Times New Roman" w:cs="Times New Roman"/>
                <w:noProof/>
                <w:webHidden/>
                <w:sz w:val="28"/>
                <w:szCs w:val="28"/>
              </w:rPr>
              <w:tab/>
            </w:r>
            <w:r w:rsidR="00B14765" w:rsidRPr="00B14765">
              <w:rPr>
                <w:rFonts w:ascii="Times New Roman" w:hAnsi="Times New Roman" w:cs="Times New Roman"/>
                <w:noProof/>
                <w:webHidden/>
                <w:sz w:val="28"/>
                <w:szCs w:val="28"/>
              </w:rPr>
              <w:fldChar w:fldCharType="begin"/>
            </w:r>
            <w:r w:rsidR="00B14765" w:rsidRPr="00B14765">
              <w:rPr>
                <w:rFonts w:ascii="Times New Roman" w:hAnsi="Times New Roman" w:cs="Times New Roman"/>
                <w:noProof/>
                <w:webHidden/>
                <w:sz w:val="28"/>
                <w:szCs w:val="28"/>
              </w:rPr>
              <w:instrText xml:space="preserve"> PAGEREF _Toc152675671 \h </w:instrText>
            </w:r>
            <w:r w:rsidR="00B14765" w:rsidRPr="00B14765">
              <w:rPr>
                <w:rFonts w:ascii="Times New Roman" w:hAnsi="Times New Roman" w:cs="Times New Roman"/>
                <w:noProof/>
                <w:webHidden/>
                <w:sz w:val="28"/>
                <w:szCs w:val="28"/>
              </w:rPr>
            </w:r>
            <w:r w:rsidR="00B14765" w:rsidRPr="00B14765">
              <w:rPr>
                <w:rFonts w:ascii="Times New Roman" w:hAnsi="Times New Roman" w:cs="Times New Roman"/>
                <w:noProof/>
                <w:webHidden/>
                <w:sz w:val="28"/>
                <w:szCs w:val="28"/>
              </w:rPr>
              <w:fldChar w:fldCharType="separate"/>
            </w:r>
            <w:r w:rsidR="00B14765" w:rsidRPr="00B14765">
              <w:rPr>
                <w:rFonts w:ascii="Times New Roman" w:hAnsi="Times New Roman" w:cs="Times New Roman"/>
                <w:noProof/>
                <w:webHidden/>
                <w:sz w:val="28"/>
                <w:szCs w:val="28"/>
              </w:rPr>
              <w:t>23</w:t>
            </w:r>
            <w:r w:rsidR="00B14765" w:rsidRPr="00B14765">
              <w:rPr>
                <w:rFonts w:ascii="Times New Roman" w:hAnsi="Times New Roman" w:cs="Times New Roman"/>
                <w:noProof/>
                <w:webHidden/>
                <w:sz w:val="28"/>
                <w:szCs w:val="28"/>
              </w:rPr>
              <w:fldChar w:fldCharType="end"/>
            </w:r>
          </w:hyperlink>
        </w:p>
        <w:p w14:paraId="09EC76C6" w14:textId="7595758A" w:rsidR="00B14765" w:rsidRPr="00B14765" w:rsidRDefault="00000000">
          <w:pPr>
            <w:pStyle w:val="13"/>
            <w:tabs>
              <w:tab w:val="right" w:leader="dot" w:pos="9627"/>
            </w:tabs>
            <w:rPr>
              <w:rFonts w:ascii="Times New Roman" w:eastAsiaTheme="minorEastAsia" w:hAnsi="Times New Roman" w:cs="Times New Roman"/>
              <w:noProof/>
              <w:sz w:val="28"/>
              <w:szCs w:val="28"/>
              <w:lang w:eastAsia="ru-RU"/>
            </w:rPr>
          </w:pPr>
          <w:hyperlink w:anchor="_Toc152675672" w:history="1">
            <w:r w:rsidR="00B14765" w:rsidRPr="00B14765">
              <w:rPr>
                <w:rStyle w:val="ae"/>
                <w:rFonts w:ascii="Times New Roman" w:hAnsi="Times New Roman" w:cs="Times New Roman"/>
                <w:noProof/>
                <w:sz w:val="28"/>
                <w:szCs w:val="28"/>
              </w:rPr>
              <w:t>1.3. Правовые основы системы оценки и контроля таможенной стоимости</w:t>
            </w:r>
            <w:r w:rsidR="00B14765" w:rsidRPr="00B14765">
              <w:rPr>
                <w:rFonts w:ascii="Times New Roman" w:hAnsi="Times New Roman" w:cs="Times New Roman"/>
                <w:noProof/>
                <w:webHidden/>
                <w:sz w:val="28"/>
                <w:szCs w:val="28"/>
              </w:rPr>
              <w:tab/>
            </w:r>
            <w:r w:rsidR="00B14765" w:rsidRPr="00B14765">
              <w:rPr>
                <w:rFonts w:ascii="Times New Roman" w:hAnsi="Times New Roman" w:cs="Times New Roman"/>
                <w:noProof/>
                <w:webHidden/>
                <w:sz w:val="28"/>
                <w:szCs w:val="28"/>
              </w:rPr>
              <w:fldChar w:fldCharType="begin"/>
            </w:r>
            <w:r w:rsidR="00B14765" w:rsidRPr="00B14765">
              <w:rPr>
                <w:rFonts w:ascii="Times New Roman" w:hAnsi="Times New Roman" w:cs="Times New Roman"/>
                <w:noProof/>
                <w:webHidden/>
                <w:sz w:val="28"/>
                <w:szCs w:val="28"/>
              </w:rPr>
              <w:instrText xml:space="preserve"> PAGEREF _Toc152675672 \h </w:instrText>
            </w:r>
            <w:r w:rsidR="00B14765" w:rsidRPr="00B14765">
              <w:rPr>
                <w:rFonts w:ascii="Times New Roman" w:hAnsi="Times New Roman" w:cs="Times New Roman"/>
                <w:noProof/>
                <w:webHidden/>
                <w:sz w:val="28"/>
                <w:szCs w:val="28"/>
              </w:rPr>
            </w:r>
            <w:r w:rsidR="00B14765" w:rsidRPr="00B14765">
              <w:rPr>
                <w:rFonts w:ascii="Times New Roman" w:hAnsi="Times New Roman" w:cs="Times New Roman"/>
                <w:noProof/>
                <w:webHidden/>
                <w:sz w:val="28"/>
                <w:szCs w:val="28"/>
              </w:rPr>
              <w:fldChar w:fldCharType="separate"/>
            </w:r>
            <w:r w:rsidR="00B14765" w:rsidRPr="00B14765">
              <w:rPr>
                <w:rFonts w:ascii="Times New Roman" w:hAnsi="Times New Roman" w:cs="Times New Roman"/>
                <w:noProof/>
                <w:webHidden/>
                <w:sz w:val="28"/>
                <w:szCs w:val="28"/>
              </w:rPr>
              <w:t>29</w:t>
            </w:r>
            <w:r w:rsidR="00B14765" w:rsidRPr="00B14765">
              <w:rPr>
                <w:rFonts w:ascii="Times New Roman" w:hAnsi="Times New Roman" w:cs="Times New Roman"/>
                <w:noProof/>
                <w:webHidden/>
                <w:sz w:val="28"/>
                <w:szCs w:val="28"/>
              </w:rPr>
              <w:fldChar w:fldCharType="end"/>
            </w:r>
          </w:hyperlink>
        </w:p>
        <w:p w14:paraId="4F9538AF" w14:textId="1F376432" w:rsidR="00B14765" w:rsidRPr="00B14765" w:rsidRDefault="00000000">
          <w:pPr>
            <w:pStyle w:val="13"/>
            <w:tabs>
              <w:tab w:val="right" w:leader="dot" w:pos="9627"/>
            </w:tabs>
            <w:rPr>
              <w:rFonts w:ascii="Times New Roman" w:eastAsiaTheme="minorEastAsia" w:hAnsi="Times New Roman" w:cs="Times New Roman"/>
              <w:noProof/>
              <w:sz w:val="28"/>
              <w:szCs w:val="28"/>
              <w:lang w:eastAsia="ru-RU"/>
            </w:rPr>
          </w:pPr>
          <w:hyperlink w:anchor="_Toc152675673" w:history="1">
            <w:r w:rsidR="00B14765" w:rsidRPr="00B14765">
              <w:rPr>
                <w:rStyle w:val="ae"/>
                <w:rFonts w:ascii="Times New Roman" w:hAnsi="Times New Roman" w:cs="Times New Roman"/>
                <w:noProof/>
                <w:sz w:val="28"/>
                <w:szCs w:val="28"/>
              </w:rPr>
              <w:t>Глава 2. Практика применения таможенной оценки товаров</w:t>
            </w:r>
            <w:r w:rsidR="00B14765" w:rsidRPr="00B14765">
              <w:rPr>
                <w:rFonts w:ascii="Times New Roman" w:hAnsi="Times New Roman" w:cs="Times New Roman"/>
                <w:noProof/>
                <w:webHidden/>
                <w:sz w:val="28"/>
                <w:szCs w:val="28"/>
              </w:rPr>
              <w:tab/>
            </w:r>
            <w:r w:rsidR="00B14765" w:rsidRPr="00B14765">
              <w:rPr>
                <w:rFonts w:ascii="Times New Roman" w:hAnsi="Times New Roman" w:cs="Times New Roman"/>
                <w:noProof/>
                <w:webHidden/>
                <w:sz w:val="28"/>
                <w:szCs w:val="28"/>
              </w:rPr>
              <w:fldChar w:fldCharType="begin"/>
            </w:r>
            <w:r w:rsidR="00B14765" w:rsidRPr="00B14765">
              <w:rPr>
                <w:rFonts w:ascii="Times New Roman" w:hAnsi="Times New Roman" w:cs="Times New Roman"/>
                <w:noProof/>
                <w:webHidden/>
                <w:sz w:val="28"/>
                <w:szCs w:val="28"/>
              </w:rPr>
              <w:instrText xml:space="preserve"> PAGEREF _Toc152675673 \h </w:instrText>
            </w:r>
            <w:r w:rsidR="00B14765" w:rsidRPr="00B14765">
              <w:rPr>
                <w:rFonts w:ascii="Times New Roman" w:hAnsi="Times New Roman" w:cs="Times New Roman"/>
                <w:noProof/>
                <w:webHidden/>
                <w:sz w:val="28"/>
                <w:szCs w:val="28"/>
              </w:rPr>
            </w:r>
            <w:r w:rsidR="00B14765" w:rsidRPr="00B14765">
              <w:rPr>
                <w:rFonts w:ascii="Times New Roman" w:hAnsi="Times New Roman" w:cs="Times New Roman"/>
                <w:noProof/>
                <w:webHidden/>
                <w:sz w:val="28"/>
                <w:szCs w:val="28"/>
              </w:rPr>
              <w:fldChar w:fldCharType="separate"/>
            </w:r>
            <w:r w:rsidR="00B14765" w:rsidRPr="00B14765">
              <w:rPr>
                <w:rFonts w:ascii="Times New Roman" w:hAnsi="Times New Roman" w:cs="Times New Roman"/>
                <w:noProof/>
                <w:webHidden/>
                <w:sz w:val="28"/>
                <w:szCs w:val="28"/>
              </w:rPr>
              <w:t>37</w:t>
            </w:r>
            <w:r w:rsidR="00B14765" w:rsidRPr="00B14765">
              <w:rPr>
                <w:rFonts w:ascii="Times New Roman" w:hAnsi="Times New Roman" w:cs="Times New Roman"/>
                <w:noProof/>
                <w:webHidden/>
                <w:sz w:val="28"/>
                <w:szCs w:val="28"/>
              </w:rPr>
              <w:fldChar w:fldCharType="end"/>
            </w:r>
          </w:hyperlink>
        </w:p>
        <w:p w14:paraId="2AAC789A" w14:textId="0E30F245" w:rsidR="00B14765" w:rsidRPr="00B14765" w:rsidRDefault="00000000">
          <w:pPr>
            <w:pStyle w:val="13"/>
            <w:tabs>
              <w:tab w:val="right" w:leader="dot" w:pos="9627"/>
            </w:tabs>
            <w:rPr>
              <w:rFonts w:ascii="Times New Roman" w:eastAsiaTheme="minorEastAsia" w:hAnsi="Times New Roman" w:cs="Times New Roman"/>
              <w:noProof/>
              <w:sz w:val="28"/>
              <w:szCs w:val="28"/>
              <w:lang w:eastAsia="ru-RU"/>
            </w:rPr>
          </w:pPr>
          <w:hyperlink w:anchor="_Toc152675674" w:history="1">
            <w:r w:rsidR="00B14765" w:rsidRPr="00B14765">
              <w:rPr>
                <w:rStyle w:val="ae"/>
                <w:rFonts w:ascii="Times New Roman" w:hAnsi="Times New Roman" w:cs="Times New Roman"/>
                <w:noProof/>
                <w:sz w:val="28"/>
                <w:szCs w:val="28"/>
              </w:rPr>
              <w:t>2.2. Порядок контроля таможенной стоимости</w:t>
            </w:r>
            <w:r w:rsidR="00B14765" w:rsidRPr="00B14765">
              <w:rPr>
                <w:rFonts w:ascii="Times New Roman" w:hAnsi="Times New Roman" w:cs="Times New Roman"/>
                <w:noProof/>
                <w:webHidden/>
                <w:sz w:val="28"/>
                <w:szCs w:val="28"/>
              </w:rPr>
              <w:tab/>
            </w:r>
            <w:r w:rsidR="00B14765" w:rsidRPr="00B14765">
              <w:rPr>
                <w:rFonts w:ascii="Times New Roman" w:hAnsi="Times New Roman" w:cs="Times New Roman"/>
                <w:noProof/>
                <w:webHidden/>
                <w:sz w:val="28"/>
                <w:szCs w:val="28"/>
              </w:rPr>
              <w:fldChar w:fldCharType="begin"/>
            </w:r>
            <w:r w:rsidR="00B14765" w:rsidRPr="00B14765">
              <w:rPr>
                <w:rFonts w:ascii="Times New Roman" w:hAnsi="Times New Roman" w:cs="Times New Roman"/>
                <w:noProof/>
                <w:webHidden/>
                <w:sz w:val="28"/>
                <w:szCs w:val="28"/>
              </w:rPr>
              <w:instrText xml:space="preserve"> PAGEREF _Toc152675674 \h </w:instrText>
            </w:r>
            <w:r w:rsidR="00B14765" w:rsidRPr="00B14765">
              <w:rPr>
                <w:rFonts w:ascii="Times New Roman" w:hAnsi="Times New Roman" w:cs="Times New Roman"/>
                <w:noProof/>
                <w:webHidden/>
                <w:sz w:val="28"/>
                <w:szCs w:val="28"/>
              </w:rPr>
            </w:r>
            <w:r w:rsidR="00B14765" w:rsidRPr="00B14765">
              <w:rPr>
                <w:rFonts w:ascii="Times New Roman" w:hAnsi="Times New Roman" w:cs="Times New Roman"/>
                <w:noProof/>
                <w:webHidden/>
                <w:sz w:val="28"/>
                <w:szCs w:val="28"/>
              </w:rPr>
              <w:fldChar w:fldCharType="separate"/>
            </w:r>
            <w:r w:rsidR="00B14765" w:rsidRPr="00B14765">
              <w:rPr>
                <w:rFonts w:ascii="Times New Roman" w:hAnsi="Times New Roman" w:cs="Times New Roman"/>
                <w:noProof/>
                <w:webHidden/>
                <w:sz w:val="28"/>
                <w:szCs w:val="28"/>
              </w:rPr>
              <w:t>41</w:t>
            </w:r>
            <w:r w:rsidR="00B14765" w:rsidRPr="00B14765">
              <w:rPr>
                <w:rFonts w:ascii="Times New Roman" w:hAnsi="Times New Roman" w:cs="Times New Roman"/>
                <w:noProof/>
                <w:webHidden/>
                <w:sz w:val="28"/>
                <w:szCs w:val="28"/>
              </w:rPr>
              <w:fldChar w:fldCharType="end"/>
            </w:r>
          </w:hyperlink>
        </w:p>
        <w:p w14:paraId="359B7C6B" w14:textId="655F0156" w:rsidR="00B14765" w:rsidRPr="00B14765" w:rsidRDefault="00000000">
          <w:pPr>
            <w:pStyle w:val="13"/>
            <w:tabs>
              <w:tab w:val="right" w:leader="dot" w:pos="9627"/>
            </w:tabs>
            <w:rPr>
              <w:rFonts w:ascii="Times New Roman" w:eastAsiaTheme="minorEastAsia" w:hAnsi="Times New Roman" w:cs="Times New Roman"/>
              <w:noProof/>
              <w:sz w:val="28"/>
              <w:szCs w:val="28"/>
              <w:lang w:eastAsia="ru-RU"/>
            </w:rPr>
          </w:pPr>
          <w:hyperlink w:anchor="_Toc152675675" w:history="1">
            <w:r w:rsidR="00B14765" w:rsidRPr="00B14765">
              <w:rPr>
                <w:rStyle w:val="ae"/>
                <w:rFonts w:ascii="Times New Roman" w:hAnsi="Times New Roman" w:cs="Times New Roman"/>
                <w:noProof/>
                <w:sz w:val="28"/>
                <w:szCs w:val="28"/>
              </w:rPr>
              <w:t>2.3. Порядок отложенного определения таможенной стоимости</w:t>
            </w:r>
            <w:r w:rsidR="00B14765" w:rsidRPr="00B14765">
              <w:rPr>
                <w:rFonts w:ascii="Times New Roman" w:hAnsi="Times New Roman" w:cs="Times New Roman"/>
                <w:noProof/>
                <w:webHidden/>
                <w:sz w:val="28"/>
                <w:szCs w:val="28"/>
              </w:rPr>
              <w:tab/>
            </w:r>
            <w:r w:rsidR="00B14765" w:rsidRPr="00B14765">
              <w:rPr>
                <w:rFonts w:ascii="Times New Roman" w:hAnsi="Times New Roman" w:cs="Times New Roman"/>
                <w:noProof/>
                <w:webHidden/>
                <w:sz w:val="28"/>
                <w:szCs w:val="28"/>
              </w:rPr>
              <w:fldChar w:fldCharType="begin"/>
            </w:r>
            <w:r w:rsidR="00B14765" w:rsidRPr="00B14765">
              <w:rPr>
                <w:rFonts w:ascii="Times New Roman" w:hAnsi="Times New Roman" w:cs="Times New Roman"/>
                <w:noProof/>
                <w:webHidden/>
                <w:sz w:val="28"/>
                <w:szCs w:val="28"/>
              </w:rPr>
              <w:instrText xml:space="preserve"> PAGEREF _Toc152675675 \h </w:instrText>
            </w:r>
            <w:r w:rsidR="00B14765" w:rsidRPr="00B14765">
              <w:rPr>
                <w:rFonts w:ascii="Times New Roman" w:hAnsi="Times New Roman" w:cs="Times New Roman"/>
                <w:noProof/>
                <w:webHidden/>
                <w:sz w:val="28"/>
                <w:szCs w:val="28"/>
              </w:rPr>
            </w:r>
            <w:r w:rsidR="00B14765" w:rsidRPr="00B14765">
              <w:rPr>
                <w:rFonts w:ascii="Times New Roman" w:hAnsi="Times New Roman" w:cs="Times New Roman"/>
                <w:noProof/>
                <w:webHidden/>
                <w:sz w:val="28"/>
                <w:szCs w:val="28"/>
              </w:rPr>
              <w:fldChar w:fldCharType="separate"/>
            </w:r>
            <w:r w:rsidR="00B14765" w:rsidRPr="00B14765">
              <w:rPr>
                <w:rFonts w:ascii="Times New Roman" w:hAnsi="Times New Roman" w:cs="Times New Roman"/>
                <w:noProof/>
                <w:webHidden/>
                <w:sz w:val="28"/>
                <w:szCs w:val="28"/>
              </w:rPr>
              <w:t>48</w:t>
            </w:r>
            <w:r w:rsidR="00B14765" w:rsidRPr="00B14765">
              <w:rPr>
                <w:rFonts w:ascii="Times New Roman" w:hAnsi="Times New Roman" w:cs="Times New Roman"/>
                <w:noProof/>
                <w:webHidden/>
                <w:sz w:val="28"/>
                <w:szCs w:val="28"/>
              </w:rPr>
              <w:fldChar w:fldCharType="end"/>
            </w:r>
          </w:hyperlink>
        </w:p>
        <w:p w14:paraId="2900F1DC" w14:textId="737ADCF8" w:rsidR="00B14765" w:rsidRPr="00B14765" w:rsidRDefault="00000000">
          <w:pPr>
            <w:pStyle w:val="13"/>
            <w:tabs>
              <w:tab w:val="right" w:leader="dot" w:pos="9627"/>
            </w:tabs>
            <w:rPr>
              <w:rFonts w:ascii="Times New Roman" w:eastAsiaTheme="minorEastAsia" w:hAnsi="Times New Roman" w:cs="Times New Roman"/>
              <w:noProof/>
              <w:sz w:val="28"/>
              <w:szCs w:val="28"/>
              <w:lang w:eastAsia="ru-RU"/>
            </w:rPr>
          </w:pPr>
          <w:hyperlink w:anchor="_Toc152675676" w:history="1">
            <w:r w:rsidR="00B14765" w:rsidRPr="00B14765">
              <w:rPr>
                <w:rStyle w:val="ae"/>
                <w:rFonts w:ascii="Times New Roman" w:hAnsi="Times New Roman" w:cs="Times New Roman"/>
                <w:noProof/>
                <w:sz w:val="28"/>
                <w:szCs w:val="28"/>
              </w:rPr>
              <w:t>2.4. Анализ практики разрешения споров по вопросам таможенной стоимости на примере Шереметьевской таможни</w:t>
            </w:r>
            <w:r w:rsidR="00B14765" w:rsidRPr="00B14765">
              <w:rPr>
                <w:rFonts w:ascii="Times New Roman" w:hAnsi="Times New Roman" w:cs="Times New Roman"/>
                <w:noProof/>
                <w:webHidden/>
                <w:sz w:val="28"/>
                <w:szCs w:val="28"/>
              </w:rPr>
              <w:tab/>
            </w:r>
            <w:r w:rsidR="00B14765" w:rsidRPr="00B14765">
              <w:rPr>
                <w:rFonts w:ascii="Times New Roman" w:hAnsi="Times New Roman" w:cs="Times New Roman"/>
                <w:noProof/>
                <w:webHidden/>
                <w:sz w:val="28"/>
                <w:szCs w:val="28"/>
              </w:rPr>
              <w:fldChar w:fldCharType="begin"/>
            </w:r>
            <w:r w:rsidR="00B14765" w:rsidRPr="00B14765">
              <w:rPr>
                <w:rFonts w:ascii="Times New Roman" w:hAnsi="Times New Roman" w:cs="Times New Roman"/>
                <w:noProof/>
                <w:webHidden/>
                <w:sz w:val="28"/>
                <w:szCs w:val="28"/>
              </w:rPr>
              <w:instrText xml:space="preserve"> PAGEREF _Toc152675676 \h </w:instrText>
            </w:r>
            <w:r w:rsidR="00B14765" w:rsidRPr="00B14765">
              <w:rPr>
                <w:rFonts w:ascii="Times New Roman" w:hAnsi="Times New Roman" w:cs="Times New Roman"/>
                <w:noProof/>
                <w:webHidden/>
                <w:sz w:val="28"/>
                <w:szCs w:val="28"/>
              </w:rPr>
            </w:r>
            <w:r w:rsidR="00B14765" w:rsidRPr="00B14765">
              <w:rPr>
                <w:rFonts w:ascii="Times New Roman" w:hAnsi="Times New Roman" w:cs="Times New Roman"/>
                <w:noProof/>
                <w:webHidden/>
                <w:sz w:val="28"/>
                <w:szCs w:val="28"/>
              </w:rPr>
              <w:fldChar w:fldCharType="separate"/>
            </w:r>
            <w:r w:rsidR="00B14765" w:rsidRPr="00B14765">
              <w:rPr>
                <w:rFonts w:ascii="Times New Roman" w:hAnsi="Times New Roman" w:cs="Times New Roman"/>
                <w:noProof/>
                <w:webHidden/>
                <w:sz w:val="28"/>
                <w:szCs w:val="28"/>
              </w:rPr>
              <w:t>53</w:t>
            </w:r>
            <w:r w:rsidR="00B14765" w:rsidRPr="00B14765">
              <w:rPr>
                <w:rFonts w:ascii="Times New Roman" w:hAnsi="Times New Roman" w:cs="Times New Roman"/>
                <w:noProof/>
                <w:webHidden/>
                <w:sz w:val="28"/>
                <w:szCs w:val="28"/>
              </w:rPr>
              <w:fldChar w:fldCharType="end"/>
            </w:r>
          </w:hyperlink>
        </w:p>
        <w:p w14:paraId="244B485C" w14:textId="5AFB8CF7" w:rsidR="00B14765" w:rsidRPr="00B14765" w:rsidRDefault="00000000">
          <w:pPr>
            <w:pStyle w:val="13"/>
            <w:tabs>
              <w:tab w:val="right" w:leader="dot" w:pos="9627"/>
            </w:tabs>
            <w:rPr>
              <w:rFonts w:ascii="Times New Roman" w:eastAsiaTheme="minorEastAsia" w:hAnsi="Times New Roman" w:cs="Times New Roman"/>
              <w:noProof/>
              <w:sz w:val="28"/>
              <w:szCs w:val="28"/>
              <w:lang w:eastAsia="ru-RU"/>
            </w:rPr>
          </w:pPr>
          <w:hyperlink w:anchor="_Toc152675677" w:history="1">
            <w:r w:rsidR="00B14765" w:rsidRPr="00B14765">
              <w:rPr>
                <w:rStyle w:val="ae"/>
                <w:rFonts w:ascii="Times New Roman" w:hAnsi="Times New Roman" w:cs="Times New Roman"/>
                <w:noProof/>
                <w:sz w:val="28"/>
                <w:szCs w:val="28"/>
              </w:rPr>
              <w:t>Глава 3. Совершенствование практики применения методов определения таможенной стоимости</w:t>
            </w:r>
            <w:r w:rsidR="00B14765" w:rsidRPr="00B14765">
              <w:rPr>
                <w:rFonts w:ascii="Times New Roman" w:hAnsi="Times New Roman" w:cs="Times New Roman"/>
                <w:noProof/>
                <w:webHidden/>
                <w:sz w:val="28"/>
                <w:szCs w:val="28"/>
              </w:rPr>
              <w:tab/>
            </w:r>
            <w:r w:rsidR="00B14765" w:rsidRPr="00B14765">
              <w:rPr>
                <w:rFonts w:ascii="Times New Roman" w:hAnsi="Times New Roman" w:cs="Times New Roman"/>
                <w:noProof/>
                <w:webHidden/>
                <w:sz w:val="28"/>
                <w:szCs w:val="28"/>
              </w:rPr>
              <w:fldChar w:fldCharType="begin"/>
            </w:r>
            <w:r w:rsidR="00B14765" w:rsidRPr="00B14765">
              <w:rPr>
                <w:rFonts w:ascii="Times New Roman" w:hAnsi="Times New Roman" w:cs="Times New Roman"/>
                <w:noProof/>
                <w:webHidden/>
                <w:sz w:val="28"/>
                <w:szCs w:val="28"/>
              </w:rPr>
              <w:instrText xml:space="preserve"> PAGEREF _Toc152675677 \h </w:instrText>
            </w:r>
            <w:r w:rsidR="00B14765" w:rsidRPr="00B14765">
              <w:rPr>
                <w:rFonts w:ascii="Times New Roman" w:hAnsi="Times New Roman" w:cs="Times New Roman"/>
                <w:noProof/>
                <w:webHidden/>
                <w:sz w:val="28"/>
                <w:szCs w:val="28"/>
              </w:rPr>
            </w:r>
            <w:r w:rsidR="00B14765" w:rsidRPr="00B14765">
              <w:rPr>
                <w:rFonts w:ascii="Times New Roman" w:hAnsi="Times New Roman" w:cs="Times New Roman"/>
                <w:noProof/>
                <w:webHidden/>
                <w:sz w:val="28"/>
                <w:szCs w:val="28"/>
              </w:rPr>
              <w:fldChar w:fldCharType="separate"/>
            </w:r>
            <w:r w:rsidR="00B14765" w:rsidRPr="00B14765">
              <w:rPr>
                <w:rFonts w:ascii="Times New Roman" w:hAnsi="Times New Roman" w:cs="Times New Roman"/>
                <w:noProof/>
                <w:webHidden/>
                <w:sz w:val="28"/>
                <w:szCs w:val="28"/>
              </w:rPr>
              <w:t>61</w:t>
            </w:r>
            <w:r w:rsidR="00B14765" w:rsidRPr="00B14765">
              <w:rPr>
                <w:rFonts w:ascii="Times New Roman" w:hAnsi="Times New Roman" w:cs="Times New Roman"/>
                <w:noProof/>
                <w:webHidden/>
                <w:sz w:val="28"/>
                <w:szCs w:val="28"/>
              </w:rPr>
              <w:fldChar w:fldCharType="end"/>
            </w:r>
          </w:hyperlink>
        </w:p>
        <w:p w14:paraId="7723B72D" w14:textId="373B52F4" w:rsidR="00B14765" w:rsidRPr="00B14765" w:rsidRDefault="00000000">
          <w:pPr>
            <w:pStyle w:val="13"/>
            <w:tabs>
              <w:tab w:val="right" w:leader="dot" w:pos="9627"/>
            </w:tabs>
            <w:rPr>
              <w:rFonts w:ascii="Times New Roman" w:eastAsiaTheme="minorEastAsia" w:hAnsi="Times New Roman" w:cs="Times New Roman"/>
              <w:noProof/>
              <w:sz w:val="28"/>
              <w:szCs w:val="28"/>
              <w:lang w:eastAsia="ru-RU"/>
            </w:rPr>
          </w:pPr>
          <w:hyperlink w:anchor="_Toc152675678" w:history="1">
            <w:r w:rsidR="00B14765" w:rsidRPr="00B14765">
              <w:rPr>
                <w:rStyle w:val="ae"/>
                <w:rFonts w:ascii="Times New Roman" w:hAnsi="Times New Roman" w:cs="Times New Roman"/>
                <w:noProof/>
                <w:sz w:val="28"/>
                <w:szCs w:val="28"/>
              </w:rPr>
              <w:t>3.1. Рекомендации по применению методов определения таможенной стоимости</w:t>
            </w:r>
            <w:r w:rsidR="00B14765" w:rsidRPr="00B14765">
              <w:rPr>
                <w:rFonts w:ascii="Times New Roman" w:hAnsi="Times New Roman" w:cs="Times New Roman"/>
                <w:noProof/>
                <w:webHidden/>
                <w:sz w:val="28"/>
                <w:szCs w:val="28"/>
              </w:rPr>
              <w:tab/>
            </w:r>
            <w:r w:rsidR="00B14765" w:rsidRPr="00B14765">
              <w:rPr>
                <w:rFonts w:ascii="Times New Roman" w:hAnsi="Times New Roman" w:cs="Times New Roman"/>
                <w:noProof/>
                <w:webHidden/>
                <w:sz w:val="28"/>
                <w:szCs w:val="28"/>
              </w:rPr>
              <w:fldChar w:fldCharType="begin"/>
            </w:r>
            <w:r w:rsidR="00B14765" w:rsidRPr="00B14765">
              <w:rPr>
                <w:rFonts w:ascii="Times New Roman" w:hAnsi="Times New Roman" w:cs="Times New Roman"/>
                <w:noProof/>
                <w:webHidden/>
                <w:sz w:val="28"/>
                <w:szCs w:val="28"/>
              </w:rPr>
              <w:instrText xml:space="preserve"> PAGEREF _Toc152675678 \h </w:instrText>
            </w:r>
            <w:r w:rsidR="00B14765" w:rsidRPr="00B14765">
              <w:rPr>
                <w:rFonts w:ascii="Times New Roman" w:hAnsi="Times New Roman" w:cs="Times New Roman"/>
                <w:noProof/>
                <w:webHidden/>
                <w:sz w:val="28"/>
                <w:szCs w:val="28"/>
              </w:rPr>
            </w:r>
            <w:r w:rsidR="00B14765" w:rsidRPr="00B14765">
              <w:rPr>
                <w:rFonts w:ascii="Times New Roman" w:hAnsi="Times New Roman" w:cs="Times New Roman"/>
                <w:noProof/>
                <w:webHidden/>
                <w:sz w:val="28"/>
                <w:szCs w:val="28"/>
              </w:rPr>
              <w:fldChar w:fldCharType="separate"/>
            </w:r>
            <w:r w:rsidR="00B14765" w:rsidRPr="00B14765">
              <w:rPr>
                <w:rFonts w:ascii="Times New Roman" w:hAnsi="Times New Roman" w:cs="Times New Roman"/>
                <w:noProof/>
                <w:webHidden/>
                <w:sz w:val="28"/>
                <w:szCs w:val="28"/>
              </w:rPr>
              <w:t>61</w:t>
            </w:r>
            <w:r w:rsidR="00B14765" w:rsidRPr="00B14765">
              <w:rPr>
                <w:rFonts w:ascii="Times New Roman" w:hAnsi="Times New Roman" w:cs="Times New Roman"/>
                <w:noProof/>
                <w:webHidden/>
                <w:sz w:val="28"/>
                <w:szCs w:val="28"/>
              </w:rPr>
              <w:fldChar w:fldCharType="end"/>
            </w:r>
          </w:hyperlink>
        </w:p>
        <w:p w14:paraId="30373DAC" w14:textId="27FB7B32" w:rsidR="00B14765" w:rsidRPr="00B14765" w:rsidRDefault="00000000">
          <w:pPr>
            <w:pStyle w:val="13"/>
            <w:tabs>
              <w:tab w:val="right" w:leader="dot" w:pos="9627"/>
            </w:tabs>
            <w:rPr>
              <w:rFonts w:ascii="Times New Roman" w:eastAsiaTheme="minorEastAsia" w:hAnsi="Times New Roman" w:cs="Times New Roman"/>
              <w:noProof/>
              <w:sz w:val="28"/>
              <w:szCs w:val="28"/>
              <w:lang w:eastAsia="ru-RU"/>
            </w:rPr>
          </w:pPr>
          <w:hyperlink w:anchor="_Toc152675679" w:history="1">
            <w:r w:rsidR="00B14765" w:rsidRPr="00B14765">
              <w:rPr>
                <w:rStyle w:val="ae"/>
                <w:rFonts w:ascii="Times New Roman" w:hAnsi="Times New Roman" w:cs="Times New Roman"/>
                <w:noProof/>
                <w:sz w:val="28"/>
                <w:szCs w:val="28"/>
              </w:rPr>
              <w:t>3.2. Предложения по минимизации оснований для возникновения споров при определении таможенной стоимости</w:t>
            </w:r>
            <w:r w:rsidR="00B14765" w:rsidRPr="00B14765">
              <w:rPr>
                <w:rFonts w:ascii="Times New Roman" w:hAnsi="Times New Roman" w:cs="Times New Roman"/>
                <w:noProof/>
                <w:webHidden/>
                <w:sz w:val="28"/>
                <w:szCs w:val="28"/>
              </w:rPr>
              <w:tab/>
            </w:r>
            <w:r w:rsidR="00B14765" w:rsidRPr="00B14765">
              <w:rPr>
                <w:rFonts w:ascii="Times New Roman" w:hAnsi="Times New Roman" w:cs="Times New Roman"/>
                <w:noProof/>
                <w:webHidden/>
                <w:sz w:val="28"/>
                <w:szCs w:val="28"/>
              </w:rPr>
              <w:fldChar w:fldCharType="begin"/>
            </w:r>
            <w:r w:rsidR="00B14765" w:rsidRPr="00B14765">
              <w:rPr>
                <w:rFonts w:ascii="Times New Roman" w:hAnsi="Times New Roman" w:cs="Times New Roman"/>
                <w:noProof/>
                <w:webHidden/>
                <w:sz w:val="28"/>
                <w:szCs w:val="28"/>
              </w:rPr>
              <w:instrText xml:space="preserve"> PAGEREF _Toc152675679 \h </w:instrText>
            </w:r>
            <w:r w:rsidR="00B14765" w:rsidRPr="00B14765">
              <w:rPr>
                <w:rFonts w:ascii="Times New Roman" w:hAnsi="Times New Roman" w:cs="Times New Roman"/>
                <w:noProof/>
                <w:webHidden/>
                <w:sz w:val="28"/>
                <w:szCs w:val="28"/>
              </w:rPr>
            </w:r>
            <w:r w:rsidR="00B14765" w:rsidRPr="00B14765">
              <w:rPr>
                <w:rFonts w:ascii="Times New Roman" w:hAnsi="Times New Roman" w:cs="Times New Roman"/>
                <w:noProof/>
                <w:webHidden/>
                <w:sz w:val="28"/>
                <w:szCs w:val="28"/>
              </w:rPr>
              <w:fldChar w:fldCharType="separate"/>
            </w:r>
            <w:r w:rsidR="00B14765" w:rsidRPr="00B14765">
              <w:rPr>
                <w:rFonts w:ascii="Times New Roman" w:hAnsi="Times New Roman" w:cs="Times New Roman"/>
                <w:noProof/>
                <w:webHidden/>
                <w:sz w:val="28"/>
                <w:szCs w:val="28"/>
              </w:rPr>
              <w:t>68</w:t>
            </w:r>
            <w:r w:rsidR="00B14765" w:rsidRPr="00B14765">
              <w:rPr>
                <w:rFonts w:ascii="Times New Roman" w:hAnsi="Times New Roman" w:cs="Times New Roman"/>
                <w:noProof/>
                <w:webHidden/>
                <w:sz w:val="28"/>
                <w:szCs w:val="28"/>
              </w:rPr>
              <w:fldChar w:fldCharType="end"/>
            </w:r>
          </w:hyperlink>
        </w:p>
        <w:p w14:paraId="5245C0EE" w14:textId="2DF3ACD9" w:rsidR="00B14765" w:rsidRPr="00B14765" w:rsidRDefault="00000000">
          <w:pPr>
            <w:pStyle w:val="13"/>
            <w:tabs>
              <w:tab w:val="right" w:leader="dot" w:pos="9627"/>
            </w:tabs>
            <w:rPr>
              <w:rFonts w:ascii="Times New Roman" w:eastAsiaTheme="minorEastAsia" w:hAnsi="Times New Roman" w:cs="Times New Roman"/>
              <w:noProof/>
              <w:sz w:val="28"/>
              <w:szCs w:val="28"/>
              <w:lang w:eastAsia="ru-RU"/>
            </w:rPr>
          </w:pPr>
          <w:hyperlink w:anchor="_Toc152675680" w:history="1">
            <w:r w:rsidR="00B14765" w:rsidRPr="00B14765">
              <w:rPr>
                <w:rStyle w:val="ae"/>
                <w:rFonts w:ascii="Times New Roman" w:hAnsi="Times New Roman" w:cs="Times New Roman"/>
                <w:noProof/>
                <w:sz w:val="28"/>
                <w:szCs w:val="28"/>
              </w:rPr>
              <w:t>3.3. Предложения по совершенствованию декларирования и контроля таможенной стоимости</w:t>
            </w:r>
            <w:r w:rsidR="00B14765" w:rsidRPr="00B14765">
              <w:rPr>
                <w:rFonts w:ascii="Times New Roman" w:hAnsi="Times New Roman" w:cs="Times New Roman"/>
                <w:noProof/>
                <w:webHidden/>
                <w:sz w:val="28"/>
                <w:szCs w:val="28"/>
              </w:rPr>
              <w:tab/>
            </w:r>
            <w:r w:rsidR="00B14765" w:rsidRPr="00B14765">
              <w:rPr>
                <w:rFonts w:ascii="Times New Roman" w:hAnsi="Times New Roman" w:cs="Times New Roman"/>
                <w:noProof/>
                <w:webHidden/>
                <w:sz w:val="28"/>
                <w:szCs w:val="28"/>
              </w:rPr>
              <w:fldChar w:fldCharType="begin"/>
            </w:r>
            <w:r w:rsidR="00B14765" w:rsidRPr="00B14765">
              <w:rPr>
                <w:rFonts w:ascii="Times New Roman" w:hAnsi="Times New Roman" w:cs="Times New Roman"/>
                <w:noProof/>
                <w:webHidden/>
                <w:sz w:val="28"/>
                <w:szCs w:val="28"/>
              </w:rPr>
              <w:instrText xml:space="preserve"> PAGEREF _Toc152675680 \h </w:instrText>
            </w:r>
            <w:r w:rsidR="00B14765" w:rsidRPr="00B14765">
              <w:rPr>
                <w:rFonts w:ascii="Times New Roman" w:hAnsi="Times New Roman" w:cs="Times New Roman"/>
                <w:noProof/>
                <w:webHidden/>
                <w:sz w:val="28"/>
                <w:szCs w:val="28"/>
              </w:rPr>
            </w:r>
            <w:r w:rsidR="00B14765" w:rsidRPr="00B14765">
              <w:rPr>
                <w:rFonts w:ascii="Times New Roman" w:hAnsi="Times New Roman" w:cs="Times New Roman"/>
                <w:noProof/>
                <w:webHidden/>
                <w:sz w:val="28"/>
                <w:szCs w:val="28"/>
              </w:rPr>
              <w:fldChar w:fldCharType="separate"/>
            </w:r>
            <w:r w:rsidR="00B14765" w:rsidRPr="00B14765">
              <w:rPr>
                <w:rFonts w:ascii="Times New Roman" w:hAnsi="Times New Roman" w:cs="Times New Roman"/>
                <w:noProof/>
                <w:webHidden/>
                <w:sz w:val="28"/>
                <w:szCs w:val="28"/>
              </w:rPr>
              <w:t>72</w:t>
            </w:r>
            <w:r w:rsidR="00B14765" w:rsidRPr="00B14765">
              <w:rPr>
                <w:rFonts w:ascii="Times New Roman" w:hAnsi="Times New Roman" w:cs="Times New Roman"/>
                <w:noProof/>
                <w:webHidden/>
                <w:sz w:val="28"/>
                <w:szCs w:val="28"/>
              </w:rPr>
              <w:fldChar w:fldCharType="end"/>
            </w:r>
          </w:hyperlink>
        </w:p>
        <w:p w14:paraId="5907554F" w14:textId="7E74B5FD" w:rsidR="00B14765" w:rsidRPr="00B14765" w:rsidRDefault="00000000">
          <w:pPr>
            <w:pStyle w:val="13"/>
            <w:tabs>
              <w:tab w:val="right" w:leader="dot" w:pos="9627"/>
            </w:tabs>
            <w:rPr>
              <w:rFonts w:ascii="Times New Roman" w:eastAsiaTheme="minorEastAsia" w:hAnsi="Times New Roman" w:cs="Times New Roman"/>
              <w:noProof/>
              <w:sz w:val="28"/>
              <w:szCs w:val="28"/>
              <w:lang w:eastAsia="ru-RU"/>
            </w:rPr>
          </w:pPr>
          <w:hyperlink w:anchor="_Toc152675681" w:history="1">
            <w:r w:rsidR="00B14765" w:rsidRPr="00B14765">
              <w:rPr>
                <w:rStyle w:val="ae"/>
                <w:rFonts w:ascii="Times New Roman" w:hAnsi="Times New Roman" w:cs="Times New Roman"/>
                <w:noProof/>
                <w:sz w:val="28"/>
                <w:szCs w:val="28"/>
              </w:rPr>
              <w:t>Заключение</w:t>
            </w:r>
            <w:r w:rsidR="00B14765" w:rsidRPr="00B14765">
              <w:rPr>
                <w:rFonts w:ascii="Times New Roman" w:hAnsi="Times New Roman" w:cs="Times New Roman"/>
                <w:noProof/>
                <w:webHidden/>
                <w:sz w:val="28"/>
                <w:szCs w:val="28"/>
              </w:rPr>
              <w:tab/>
            </w:r>
            <w:r w:rsidR="00B14765" w:rsidRPr="00B14765">
              <w:rPr>
                <w:rFonts w:ascii="Times New Roman" w:hAnsi="Times New Roman" w:cs="Times New Roman"/>
                <w:noProof/>
                <w:webHidden/>
                <w:sz w:val="28"/>
                <w:szCs w:val="28"/>
              </w:rPr>
              <w:fldChar w:fldCharType="begin"/>
            </w:r>
            <w:r w:rsidR="00B14765" w:rsidRPr="00B14765">
              <w:rPr>
                <w:rFonts w:ascii="Times New Roman" w:hAnsi="Times New Roman" w:cs="Times New Roman"/>
                <w:noProof/>
                <w:webHidden/>
                <w:sz w:val="28"/>
                <w:szCs w:val="28"/>
              </w:rPr>
              <w:instrText xml:space="preserve"> PAGEREF _Toc152675681 \h </w:instrText>
            </w:r>
            <w:r w:rsidR="00B14765" w:rsidRPr="00B14765">
              <w:rPr>
                <w:rFonts w:ascii="Times New Roman" w:hAnsi="Times New Roman" w:cs="Times New Roman"/>
                <w:noProof/>
                <w:webHidden/>
                <w:sz w:val="28"/>
                <w:szCs w:val="28"/>
              </w:rPr>
            </w:r>
            <w:r w:rsidR="00B14765" w:rsidRPr="00B14765">
              <w:rPr>
                <w:rFonts w:ascii="Times New Roman" w:hAnsi="Times New Roman" w:cs="Times New Roman"/>
                <w:noProof/>
                <w:webHidden/>
                <w:sz w:val="28"/>
                <w:szCs w:val="28"/>
              </w:rPr>
              <w:fldChar w:fldCharType="separate"/>
            </w:r>
            <w:r w:rsidR="00B14765" w:rsidRPr="00B14765">
              <w:rPr>
                <w:rFonts w:ascii="Times New Roman" w:hAnsi="Times New Roman" w:cs="Times New Roman"/>
                <w:noProof/>
                <w:webHidden/>
                <w:sz w:val="28"/>
                <w:szCs w:val="28"/>
              </w:rPr>
              <w:t>76</w:t>
            </w:r>
            <w:r w:rsidR="00B14765" w:rsidRPr="00B14765">
              <w:rPr>
                <w:rFonts w:ascii="Times New Roman" w:hAnsi="Times New Roman" w:cs="Times New Roman"/>
                <w:noProof/>
                <w:webHidden/>
                <w:sz w:val="28"/>
                <w:szCs w:val="28"/>
              </w:rPr>
              <w:fldChar w:fldCharType="end"/>
            </w:r>
          </w:hyperlink>
        </w:p>
        <w:p w14:paraId="0960924B" w14:textId="0B21B72E" w:rsidR="00B14765" w:rsidRPr="00B14765" w:rsidRDefault="00000000">
          <w:pPr>
            <w:pStyle w:val="13"/>
            <w:tabs>
              <w:tab w:val="right" w:leader="dot" w:pos="9627"/>
            </w:tabs>
            <w:rPr>
              <w:rFonts w:ascii="Times New Roman" w:eastAsiaTheme="minorEastAsia" w:hAnsi="Times New Roman" w:cs="Times New Roman"/>
              <w:noProof/>
              <w:sz w:val="28"/>
              <w:szCs w:val="28"/>
              <w:lang w:eastAsia="ru-RU"/>
            </w:rPr>
          </w:pPr>
          <w:hyperlink w:anchor="_Toc152675682" w:history="1">
            <w:r w:rsidR="00B14765" w:rsidRPr="00B14765">
              <w:rPr>
                <w:rStyle w:val="ae"/>
                <w:rFonts w:ascii="Times New Roman" w:hAnsi="Times New Roman" w:cs="Times New Roman"/>
                <w:noProof/>
                <w:sz w:val="28"/>
                <w:szCs w:val="28"/>
              </w:rPr>
              <w:t>Список используемых источников</w:t>
            </w:r>
            <w:r w:rsidR="00B14765" w:rsidRPr="00B14765">
              <w:rPr>
                <w:rFonts w:ascii="Times New Roman" w:hAnsi="Times New Roman" w:cs="Times New Roman"/>
                <w:noProof/>
                <w:webHidden/>
                <w:sz w:val="28"/>
                <w:szCs w:val="28"/>
              </w:rPr>
              <w:tab/>
            </w:r>
            <w:r w:rsidR="00B14765" w:rsidRPr="00B14765">
              <w:rPr>
                <w:rFonts w:ascii="Times New Roman" w:hAnsi="Times New Roman" w:cs="Times New Roman"/>
                <w:noProof/>
                <w:webHidden/>
                <w:sz w:val="28"/>
                <w:szCs w:val="28"/>
              </w:rPr>
              <w:fldChar w:fldCharType="begin"/>
            </w:r>
            <w:r w:rsidR="00B14765" w:rsidRPr="00B14765">
              <w:rPr>
                <w:rFonts w:ascii="Times New Roman" w:hAnsi="Times New Roman" w:cs="Times New Roman"/>
                <w:noProof/>
                <w:webHidden/>
                <w:sz w:val="28"/>
                <w:szCs w:val="28"/>
              </w:rPr>
              <w:instrText xml:space="preserve"> PAGEREF _Toc152675682 \h </w:instrText>
            </w:r>
            <w:r w:rsidR="00B14765" w:rsidRPr="00B14765">
              <w:rPr>
                <w:rFonts w:ascii="Times New Roman" w:hAnsi="Times New Roman" w:cs="Times New Roman"/>
                <w:noProof/>
                <w:webHidden/>
                <w:sz w:val="28"/>
                <w:szCs w:val="28"/>
              </w:rPr>
            </w:r>
            <w:r w:rsidR="00B14765" w:rsidRPr="00B14765">
              <w:rPr>
                <w:rFonts w:ascii="Times New Roman" w:hAnsi="Times New Roman" w:cs="Times New Roman"/>
                <w:noProof/>
                <w:webHidden/>
                <w:sz w:val="28"/>
                <w:szCs w:val="28"/>
              </w:rPr>
              <w:fldChar w:fldCharType="separate"/>
            </w:r>
            <w:r w:rsidR="00B14765" w:rsidRPr="00B14765">
              <w:rPr>
                <w:rFonts w:ascii="Times New Roman" w:hAnsi="Times New Roman" w:cs="Times New Roman"/>
                <w:noProof/>
                <w:webHidden/>
                <w:sz w:val="28"/>
                <w:szCs w:val="28"/>
              </w:rPr>
              <w:t>80</w:t>
            </w:r>
            <w:r w:rsidR="00B14765" w:rsidRPr="00B14765">
              <w:rPr>
                <w:rFonts w:ascii="Times New Roman" w:hAnsi="Times New Roman" w:cs="Times New Roman"/>
                <w:noProof/>
                <w:webHidden/>
                <w:sz w:val="28"/>
                <w:szCs w:val="28"/>
              </w:rPr>
              <w:fldChar w:fldCharType="end"/>
            </w:r>
          </w:hyperlink>
        </w:p>
        <w:p w14:paraId="12D85834" w14:textId="771736DB" w:rsidR="008B1391" w:rsidRDefault="008B1391" w:rsidP="008B1391">
          <w:pPr>
            <w:spacing w:line="288" w:lineRule="auto"/>
          </w:pPr>
          <w:r w:rsidRPr="00B14765">
            <w:rPr>
              <w:rFonts w:ascii="Times New Roman" w:hAnsi="Times New Roman" w:cs="Times New Roman"/>
              <w:bCs/>
              <w:sz w:val="28"/>
              <w:szCs w:val="28"/>
            </w:rPr>
            <w:fldChar w:fldCharType="end"/>
          </w:r>
        </w:p>
      </w:sdtContent>
    </w:sdt>
    <w:p w14:paraId="3AC16C0E" w14:textId="77777777" w:rsidR="008B1391" w:rsidRDefault="008B1391">
      <w:pPr>
        <w:rPr>
          <w:rFonts w:ascii="Times New Roman" w:eastAsia="Calibri" w:hAnsi="Times New Roman" w:cs="Times New Roman"/>
          <w:b/>
          <w:bCs/>
          <w:color w:val="000000"/>
          <w:sz w:val="28"/>
          <w:szCs w:val="28"/>
        </w:rPr>
      </w:pPr>
      <w:r>
        <w:rPr>
          <w:rFonts w:ascii="Times New Roman" w:eastAsia="Calibri" w:hAnsi="Times New Roman" w:cs="Times New Roman"/>
          <w:b/>
          <w:bCs/>
          <w:color w:val="000000"/>
          <w:sz w:val="28"/>
          <w:szCs w:val="28"/>
        </w:rPr>
        <w:br w:type="page"/>
      </w:r>
    </w:p>
    <w:p w14:paraId="786E232D" w14:textId="75723E00" w:rsidR="005D224E" w:rsidRPr="00625F13" w:rsidRDefault="005D224E" w:rsidP="005D224E">
      <w:pPr>
        <w:spacing w:after="0" w:line="240" w:lineRule="auto"/>
        <w:jc w:val="center"/>
        <w:rPr>
          <w:rFonts w:ascii="Times New Roman" w:eastAsia="Calibri" w:hAnsi="Times New Roman" w:cs="Times New Roman"/>
          <w:b/>
          <w:bCs/>
          <w:color w:val="000000"/>
          <w:sz w:val="28"/>
          <w:szCs w:val="28"/>
        </w:rPr>
      </w:pPr>
      <w:r w:rsidRPr="00625F13">
        <w:rPr>
          <w:rFonts w:ascii="Times New Roman" w:eastAsia="Calibri" w:hAnsi="Times New Roman" w:cs="Times New Roman"/>
          <w:b/>
          <w:bCs/>
          <w:color w:val="000000"/>
          <w:sz w:val="28"/>
          <w:szCs w:val="28"/>
        </w:rPr>
        <w:lastRenderedPageBreak/>
        <w:t>ВВЕДЕНИЕ</w:t>
      </w:r>
    </w:p>
    <w:p w14:paraId="34487D1E" w14:textId="77777777" w:rsidR="005D224E" w:rsidRDefault="005D224E" w:rsidP="005D224E">
      <w:pPr>
        <w:spacing w:after="0" w:line="360" w:lineRule="auto"/>
        <w:ind w:firstLine="709"/>
        <w:jc w:val="both"/>
        <w:rPr>
          <w:rFonts w:ascii="Times New Roman" w:eastAsia="Calibri" w:hAnsi="Times New Roman" w:cs="Times New Roman"/>
          <w:color w:val="000000"/>
          <w:sz w:val="28"/>
          <w:szCs w:val="28"/>
        </w:rPr>
      </w:pPr>
    </w:p>
    <w:p w14:paraId="6B5B1349" w14:textId="77777777" w:rsidR="00727EDC" w:rsidRPr="00727EDC" w:rsidRDefault="00727EDC" w:rsidP="00727EDC">
      <w:pPr>
        <w:spacing w:after="0" w:line="360" w:lineRule="auto"/>
        <w:ind w:firstLine="709"/>
        <w:jc w:val="both"/>
        <w:rPr>
          <w:rFonts w:ascii="Times New Roman" w:hAnsi="Times New Roman" w:cs="Times New Roman"/>
          <w:sz w:val="28"/>
          <w:szCs w:val="28"/>
        </w:rPr>
      </w:pPr>
      <w:r w:rsidRPr="00727EDC">
        <w:rPr>
          <w:rFonts w:ascii="Times New Roman" w:hAnsi="Times New Roman" w:cs="Times New Roman"/>
          <w:sz w:val="28"/>
          <w:szCs w:val="28"/>
        </w:rPr>
        <w:t>Актуальность темы выпускной квалификационной работы обусловлена тем, что таможенная стоимость – один из основных инструментов таможенно-тарифного регулирования. Она является основой для исчисления таких таможенных платежей, как таможенные сборы за совершение таможенных операций, связанных с выпуском, таможенных пошлин, а также важная составляющая базы для расчета НДС. Помимо этого, таможенная стоимость – основа для исчисления специальной, антидемпинговой и компенсационных пошлин. От корректного определения таможенной стоимости зависит сумма платежей, которые будут перечислены таможенными органами в Федеральный бюджет. Также таможенная стоимость – исходная величина для формирования информации о стоимостном объеме внешней торговли, то есть она является статистической единицей таможенной статистики.</w:t>
      </w:r>
    </w:p>
    <w:p w14:paraId="1FFFC9A3" w14:textId="77777777" w:rsidR="00727EDC" w:rsidRPr="00727EDC" w:rsidRDefault="00727EDC" w:rsidP="00727EDC">
      <w:pPr>
        <w:spacing w:after="0" w:line="360" w:lineRule="auto"/>
        <w:ind w:firstLine="709"/>
        <w:jc w:val="both"/>
        <w:rPr>
          <w:rFonts w:ascii="Times New Roman" w:hAnsi="Times New Roman" w:cs="Times New Roman"/>
          <w:sz w:val="28"/>
          <w:szCs w:val="28"/>
        </w:rPr>
      </w:pPr>
      <w:r w:rsidRPr="00727EDC">
        <w:rPr>
          <w:rFonts w:ascii="Times New Roman" w:hAnsi="Times New Roman" w:cs="Times New Roman"/>
          <w:sz w:val="28"/>
          <w:szCs w:val="28"/>
        </w:rPr>
        <w:t>Анализ правильности расчета таможенной стоимости товаров является на сегодняшний день одним из сложнейших элементов в деятельности таможенных органов. Эффективная реализация анализа правильности расчета таможенной стоимости требует сочетания таких факторов как - скоординированная деятельность всех участников внешнеэкономической деятельности; администрирование данного процесса, включающего в себя сбор, обработку и систематизацию объёмного сегмента ценовой информации; анализ статистического материала по корректировке таможенной стоимости, на основе применения системы управления рисками.</w:t>
      </w:r>
    </w:p>
    <w:p w14:paraId="32E73E45" w14:textId="77777777" w:rsidR="00727EDC" w:rsidRPr="00727EDC" w:rsidRDefault="00727EDC" w:rsidP="00727EDC">
      <w:pPr>
        <w:spacing w:after="0" w:line="360" w:lineRule="auto"/>
        <w:ind w:firstLine="709"/>
        <w:jc w:val="both"/>
        <w:rPr>
          <w:rFonts w:ascii="Times New Roman" w:hAnsi="Times New Roman" w:cs="Times New Roman"/>
          <w:sz w:val="28"/>
          <w:szCs w:val="28"/>
        </w:rPr>
      </w:pPr>
      <w:r w:rsidRPr="00727EDC">
        <w:rPr>
          <w:rFonts w:ascii="Times New Roman" w:hAnsi="Times New Roman" w:cs="Times New Roman"/>
          <w:sz w:val="28"/>
          <w:szCs w:val="28"/>
        </w:rPr>
        <w:t xml:space="preserve">В настоящее время сложилась практика, при которой участники ВЭД намерено занижают таможенную стоимость. Занижение таможенной стоимости приводит к недополучению государством значительной суммы таможенных платежей, которые являются частью доходов государственного бюджета, снижает эффективность таможенного регулирования внешнеэкономической деятельности, а также искажает данные таможенной статистики. </w:t>
      </w:r>
    </w:p>
    <w:p w14:paraId="6C4C9E8D" w14:textId="77777777" w:rsidR="00727EDC" w:rsidRPr="00727EDC" w:rsidRDefault="00727EDC" w:rsidP="00727EDC">
      <w:pPr>
        <w:spacing w:after="0" w:line="360" w:lineRule="auto"/>
        <w:ind w:firstLine="709"/>
        <w:jc w:val="both"/>
        <w:rPr>
          <w:rFonts w:ascii="Times New Roman" w:hAnsi="Times New Roman" w:cs="Times New Roman"/>
          <w:sz w:val="28"/>
          <w:szCs w:val="28"/>
        </w:rPr>
      </w:pPr>
      <w:r w:rsidRPr="00727EDC">
        <w:rPr>
          <w:rFonts w:ascii="Times New Roman" w:hAnsi="Times New Roman" w:cs="Times New Roman"/>
          <w:sz w:val="28"/>
          <w:szCs w:val="28"/>
        </w:rPr>
        <w:lastRenderedPageBreak/>
        <w:t>Помимо вышеперечисленного стоит отметить, что таможенная стоимость – это база для совершения контроля за репатриацией валютной выручки, а также вывозов денежных средств в уплату за импортируемые товары. В связи с этим, важной проблемой также является и завышение таможенной стоимости, последствием которой является бесконтрольный вывоз капитала за рубеж. С помощью повышения действительной стоимости импортируемого товара, за пределы Российской Федерации вывозится большая сумма денежных средств, чем предусматривает сделка.</w:t>
      </w:r>
    </w:p>
    <w:p w14:paraId="526B7DFC" w14:textId="77777777" w:rsidR="00727EDC" w:rsidRPr="00727EDC" w:rsidRDefault="00727EDC" w:rsidP="00727EDC">
      <w:pPr>
        <w:spacing w:after="0" w:line="360" w:lineRule="auto"/>
        <w:ind w:firstLine="709"/>
        <w:jc w:val="both"/>
        <w:rPr>
          <w:rFonts w:ascii="Times New Roman" w:hAnsi="Times New Roman" w:cs="Times New Roman"/>
          <w:sz w:val="28"/>
          <w:szCs w:val="28"/>
        </w:rPr>
      </w:pPr>
      <w:r w:rsidRPr="00727EDC">
        <w:rPr>
          <w:rFonts w:ascii="Times New Roman" w:hAnsi="Times New Roman" w:cs="Times New Roman"/>
          <w:sz w:val="28"/>
          <w:szCs w:val="28"/>
        </w:rPr>
        <w:t xml:space="preserve">Одна из важнейших задач таможенных органов – обеспечение условий, при которых уплата таможенных платежей была бы максимально достоверной, полной и своевременной. В связи с этим становится очевидно, что контроль таможенной стоимости занимает значительное место в таможенно-тарифном регулировании ВЭД. </w:t>
      </w:r>
    </w:p>
    <w:p w14:paraId="00CD02A5" w14:textId="77777777" w:rsidR="00727EDC" w:rsidRPr="00727EDC" w:rsidRDefault="00727EDC" w:rsidP="00727EDC">
      <w:pPr>
        <w:spacing w:after="0" w:line="360" w:lineRule="auto"/>
        <w:ind w:firstLine="709"/>
        <w:jc w:val="both"/>
        <w:rPr>
          <w:rFonts w:ascii="Times New Roman" w:hAnsi="Times New Roman" w:cs="Times New Roman"/>
          <w:sz w:val="28"/>
          <w:szCs w:val="28"/>
        </w:rPr>
      </w:pPr>
      <w:r w:rsidRPr="00727EDC">
        <w:rPr>
          <w:rFonts w:ascii="Times New Roman" w:hAnsi="Times New Roman" w:cs="Times New Roman"/>
          <w:sz w:val="28"/>
          <w:szCs w:val="28"/>
        </w:rPr>
        <w:t>В этой ситуации процедура корректировки таможенной стоимости является одним из немногих эффективных инструментов, который позволяет обеспечить полноту поступлений платежей в бюджет государства.</w:t>
      </w:r>
    </w:p>
    <w:p w14:paraId="49DD14DC" w14:textId="77777777" w:rsidR="00727EDC" w:rsidRDefault="00727EDC" w:rsidP="00727EDC">
      <w:pPr>
        <w:spacing w:after="0" w:line="360" w:lineRule="auto"/>
        <w:ind w:firstLine="709"/>
        <w:jc w:val="both"/>
        <w:rPr>
          <w:rFonts w:ascii="Times New Roman" w:hAnsi="Times New Roman" w:cs="Times New Roman"/>
          <w:sz w:val="28"/>
          <w:szCs w:val="28"/>
        </w:rPr>
      </w:pPr>
      <w:r w:rsidRPr="00727EDC">
        <w:rPr>
          <w:rFonts w:ascii="Times New Roman" w:hAnsi="Times New Roman" w:cs="Times New Roman"/>
          <w:sz w:val="28"/>
          <w:szCs w:val="28"/>
        </w:rPr>
        <w:t>Из того факта, что анализ правильности расчета таможенной стоимости является одним из основных составляющих процесса таможенного контроля, обеспечивающим контрольную, правоохранительную и фискальную функции, следует что изучение проблем и перспектив развития системы анализа правильности расчета таможенной стоимости является по-настоящему важным вопросом для организации таможенного регулирования в ЕАЭС. Кроме того, необходимо отметить, что по данным ФТС России за 2018-2022 годы больше всего решений, действий или бездействия таможенных органов обжаловалось участниками ВЭД именно по вопросам изменения сведений о таможенной стоимости товаров. Все вышесказанное обуславливает актуальность исследования.</w:t>
      </w:r>
    </w:p>
    <w:p w14:paraId="3DF2BA17" w14:textId="7DA1F912" w:rsidR="005D224E" w:rsidRDefault="005D224E" w:rsidP="00727EDC">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Объектом исследования являются система таможенной оценки товаров, предмет – практика ее применения в Российской Федерации.</w:t>
      </w:r>
    </w:p>
    <w:p w14:paraId="23D9E29E" w14:textId="3552D064"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Целью данного исследования является </w:t>
      </w:r>
      <w:r w:rsidR="00C0178D">
        <w:rPr>
          <w:rFonts w:ascii="Times New Roman" w:hAnsi="Times New Roman" w:cs="Times New Roman"/>
          <w:sz w:val="28"/>
          <w:szCs w:val="28"/>
        </w:rPr>
        <w:t>анализ практики о</w:t>
      </w:r>
      <w:r w:rsidR="00C0178D" w:rsidRPr="00C0178D">
        <w:rPr>
          <w:rFonts w:ascii="Times New Roman" w:hAnsi="Times New Roman" w:cs="Times New Roman"/>
          <w:sz w:val="28"/>
          <w:szCs w:val="28"/>
        </w:rPr>
        <w:t>пределени</w:t>
      </w:r>
      <w:r w:rsidR="00C0178D">
        <w:rPr>
          <w:rFonts w:ascii="Times New Roman" w:hAnsi="Times New Roman" w:cs="Times New Roman"/>
          <w:sz w:val="28"/>
          <w:szCs w:val="28"/>
        </w:rPr>
        <w:t>я</w:t>
      </w:r>
      <w:r w:rsidR="00C0178D" w:rsidRPr="00C0178D">
        <w:rPr>
          <w:rFonts w:ascii="Times New Roman" w:hAnsi="Times New Roman" w:cs="Times New Roman"/>
          <w:sz w:val="28"/>
          <w:szCs w:val="28"/>
        </w:rPr>
        <w:t xml:space="preserve"> и контрол</w:t>
      </w:r>
      <w:r w:rsidR="00C0178D">
        <w:rPr>
          <w:rFonts w:ascii="Times New Roman" w:hAnsi="Times New Roman" w:cs="Times New Roman"/>
          <w:sz w:val="28"/>
          <w:szCs w:val="28"/>
        </w:rPr>
        <w:t>я</w:t>
      </w:r>
      <w:r w:rsidR="00C0178D" w:rsidRPr="00C0178D">
        <w:rPr>
          <w:rFonts w:ascii="Times New Roman" w:hAnsi="Times New Roman" w:cs="Times New Roman"/>
          <w:sz w:val="28"/>
          <w:szCs w:val="28"/>
        </w:rPr>
        <w:t xml:space="preserve"> таможенной стоимости</w:t>
      </w:r>
      <w:r w:rsidR="00C0178D">
        <w:rPr>
          <w:rFonts w:ascii="Times New Roman" w:hAnsi="Times New Roman" w:cs="Times New Roman"/>
          <w:sz w:val="28"/>
          <w:szCs w:val="28"/>
        </w:rPr>
        <w:t>, а также</w:t>
      </w:r>
      <w:r w:rsidR="00C0178D" w:rsidRPr="00C0178D">
        <w:rPr>
          <w:rFonts w:ascii="Times New Roman" w:hAnsi="Times New Roman" w:cs="Times New Roman"/>
          <w:sz w:val="28"/>
          <w:szCs w:val="28"/>
        </w:rPr>
        <w:t xml:space="preserve"> </w:t>
      </w:r>
      <w:r w:rsidR="00F05EEE" w:rsidRPr="00F05EEE">
        <w:rPr>
          <w:rFonts w:ascii="Times New Roman" w:hAnsi="Times New Roman" w:cs="Times New Roman"/>
          <w:sz w:val="28"/>
          <w:szCs w:val="28"/>
        </w:rPr>
        <w:t xml:space="preserve">выявлении проблем и </w:t>
      </w:r>
      <w:r w:rsidR="00C0178D" w:rsidRPr="00C0178D">
        <w:rPr>
          <w:rFonts w:ascii="Times New Roman" w:hAnsi="Times New Roman" w:cs="Times New Roman"/>
          <w:sz w:val="28"/>
          <w:szCs w:val="28"/>
        </w:rPr>
        <w:t xml:space="preserve">разработка </w:t>
      </w:r>
      <w:proofErr w:type="gramStart"/>
      <w:r w:rsidR="00C0178D" w:rsidRPr="00C0178D">
        <w:rPr>
          <w:rFonts w:ascii="Times New Roman" w:hAnsi="Times New Roman" w:cs="Times New Roman"/>
          <w:sz w:val="28"/>
          <w:szCs w:val="28"/>
        </w:rPr>
        <w:t>предложений</w:t>
      </w:r>
      <w:r w:rsidR="00F05EEE" w:rsidRPr="00F05EEE">
        <w:rPr>
          <w:rFonts w:ascii="Times New Roman" w:hAnsi="Times New Roman" w:cs="Times New Roman"/>
          <w:sz w:val="28"/>
          <w:szCs w:val="28"/>
        </w:rPr>
        <w:t xml:space="preserve"> </w:t>
      </w:r>
      <w:r w:rsidR="00C0178D">
        <w:rPr>
          <w:rFonts w:ascii="Times New Roman" w:hAnsi="Times New Roman" w:cs="Times New Roman"/>
          <w:sz w:val="28"/>
          <w:szCs w:val="28"/>
        </w:rPr>
        <w:t xml:space="preserve"> по</w:t>
      </w:r>
      <w:proofErr w:type="gramEnd"/>
      <w:r w:rsidR="00C0178D">
        <w:rPr>
          <w:rFonts w:ascii="Times New Roman" w:hAnsi="Times New Roman" w:cs="Times New Roman"/>
          <w:sz w:val="28"/>
          <w:szCs w:val="28"/>
        </w:rPr>
        <w:t xml:space="preserve"> </w:t>
      </w:r>
      <w:r w:rsidR="00F05EEE" w:rsidRPr="00F05EEE">
        <w:rPr>
          <w:rFonts w:ascii="Times New Roman" w:hAnsi="Times New Roman" w:cs="Times New Roman"/>
          <w:sz w:val="28"/>
          <w:szCs w:val="28"/>
        </w:rPr>
        <w:t>совершенствовани</w:t>
      </w:r>
      <w:r w:rsidR="00C0178D">
        <w:rPr>
          <w:rFonts w:ascii="Times New Roman" w:hAnsi="Times New Roman" w:cs="Times New Roman"/>
          <w:sz w:val="28"/>
          <w:szCs w:val="28"/>
        </w:rPr>
        <w:t>ю</w:t>
      </w:r>
      <w:r w:rsidR="00F05EEE" w:rsidRPr="00F05EEE">
        <w:rPr>
          <w:rFonts w:ascii="Times New Roman" w:hAnsi="Times New Roman" w:cs="Times New Roman"/>
          <w:sz w:val="28"/>
          <w:szCs w:val="28"/>
        </w:rPr>
        <w:t xml:space="preserve"> системы</w:t>
      </w:r>
      <w:r w:rsidR="00C0178D" w:rsidRPr="00C0178D">
        <w:rPr>
          <w:rFonts w:ascii="Times New Roman" w:hAnsi="Times New Roman" w:cs="Times New Roman"/>
          <w:sz w:val="28"/>
          <w:szCs w:val="28"/>
        </w:rPr>
        <w:t xml:space="preserve"> таможенной оценки товаров</w:t>
      </w:r>
      <w:r w:rsidR="00F05EEE" w:rsidRPr="00F05EEE">
        <w:rPr>
          <w:rFonts w:ascii="Times New Roman" w:hAnsi="Times New Roman" w:cs="Times New Roman"/>
          <w:sz w:val="28"/>
          <w:szCs w:val="28"/>
        </w:rPr>
        <w:t xml:space="preserve"> в государствах-членах ЕАЭС </w:t>
      </w:r>
      <w:r>
        <w:rPr>
          <w:rFonts w:ascii="Times New Roman" w:hAnsi="Times New Roman" w:cs="Times New Roman"/>
          <w:sz w:val="28"/>
          <w:szCs w:val="28"/>
        </w:rPr>
        <w:t>на основе анализа практики ее применения в Российской Федерации.</w:t>
      </w:r>
    </w:p>
    <w:p w14:paraId="78D78E34" w14:textId="77777777" w:rsidR="005D224E" w:rsidRDefault="005D224E" w:rsidP="005D224E">
      <w:pPr>
        <w:spacing w:after="0" w:line="360" w:lineRule="auto"/>
        <w:ind w:firstLine="709"/>
        <w:jc w:val="both"/>
        <w:rPr>
          <w:rFonts w:ascii="Times New Roman" w:hAnsi="Times New Roman" w:cs="Times New Roman"/>
          <w:sz w:val="28"/>
          <w:szCs w:val="28"/>
        </w:rPr>
      </w:pPr>
      <w:r w:rsidRPr="00FA1604">
        <w:rPr>
          <w:rFonts w:ascii="Times New Roman" w:hAnsi="Times New Roman" w:cs="Times New Roman"/>
          <w:sz w:val="28"/>
          <w:szCs w:val="28"/>
        </w:rPr>
        <w:t xml:space="preserve">Для достижения </w:t>
      </w:r>
      <w:r>
        <w:rPr>
          <w:rFonts w:ascii="Times New Roman" w:hAnsi="Times New Roman" w:cs="Times New Roman"/>
          <w:sz w:val="28"/>
          <w:szCs w:val="28"/>
        </w:rPr>
        <w:t>поставленной</w:t>
      </w:r>
      <w:r w:rsidRPr="00FA1604">
        <w:rPr>
          <w:rFonts w:ascii="Times New Roman" w:hAnsi="Times New Roman" w:cs="Times New Roman"/>
          <w:sz w:val="28"/>
          <w:szCs w:val="28"/>
        </w:rPr>
        <w:t xml:space="preserve"> цели исследования</w:t>
      </w:r>
      <w:r>
        <w:rPr>
          <w:rFonts w:ascii="Times New Roman" w:hAnsi="Times New Roman" w:cs="Times New Roman"/>
          <w:sz w:val="28"/>
          <w:szCs w:val="28"/>
        </w:rPr>
        <w:t xml:space="preserve"> необходимо решить</w:t>
      </w:r>
      <w:r w:rsidRPr="00FA1604">
        <w:rPr>
          <w:rFonts w:ascii="Times New Roman" w:hAnsi="Times New Roman" w:cs="Times New Roman"/>
          <w:sz w:val="28"/>
          <w:szCs w:val="28"/>
        </w:rPr>
        <w:t xml:space="preserve"> следующие задачи:</w:t>
      </w:r>
    </w:p>
    <w:p w14:paraId="007753AF" w14:textId="77777777" w:rsidR="005D224E" w:rsidRPr="0006155B" w:rsidRDefault="005D224E" w:rsidP="005D224E">
      <w:pPr>
        <w:pStyle w:val="a5"/>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Определить сущность таможенной стоимости.</w:t>
      </w:r>
    </w:p>
    <w:p w14:paraId="7CD21E89" w14:textId="77777777" w:rsidR="005D224E" w:rsidRPr="00570543" w:rsidRDefault="005D224E" w:rsidP="005D224E">
      <w:pPr>
        <w:pStyle w:val="a5"/>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Раскрыть содержание </w:t>
      </w:r>
      <w:r>
        <w:rPr>
          <w:rFonts w:ascii="Times New Roman" w:hAnsi="Times New Roman" w:cs="Times New Roman"/>
          <w:bCs/>
          <w:sz w:val="28"/>
          <w:szCs w:val="28"/>
        </w:rPr>
        <w:t>системы</w:t>
      </w:r>
      <w:r w:rsidRPr="00570543">
        <w:rPr>
          <w:rFonts w:ascii="Times New Roman" w:hAnsi="Times New Roman" w:cs="Times New Roman"/>
          <w:bCs/>
          <w:sz w:val="28"/>
          <w:szCs w:val="28"/>
        </w:rPr>
        <w:t xml:space="preserve"> методов определения таможенной стоимости</w:t>
      </w:r>
      <w:r>
        <w:rPr>
          <w:rFonts w:ascii="Times New Roman" w:hAnsi="Times New Roman" w:cs="Times New Roman"/>
          <w:bCs/>
          <w:sz w:val="28"/>
          <w:szCs w:val="28"/>
        </w:rPr>
        <w:t>.</w:t>
      </w:r>
    </w:p>
    <w:p w14:paraId="23EA764B" w14:textId="77777777" w:rsidR="005D224E" w:rsidRPr="00570543" w:rsidRDefault="005D224E" w:rsidP="005D224E">
      <w:pPr>
        <w:pStyle w:val="a5"/>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bCs/>
          <w:sz w:val="28"/>
          <w:szCs w:val="28"/>
        </w:rPr>
        <w:t xml:space="preserve">Определить роль </w:t>
      </w:r>
      <w:r w:rsidRPr="00570543">
        <w:rPr>
          <w:rFonts w:ascii="Times New Roman" w:hAnsi="Times New Roman" w:cs="Times New Roman"/>
          <w:sz w:val="28"/>
          <w:szCs w:val="28"/>
        </w:rPr>
        <w:t>и значение института таможенной стоимости в системе таможенно-тарифного регулирования</w:t>
      </w:r>
      <w:r>
        <w:rPr>
          <w:rFonts w:ascii="Times New Roman" w:hAnsi="Times New Roman" w:cs="Times New Roman"/>
          <w:sz w:val="28"/>
          <w:szCs w:val="28"/>
        </w:rPr>
        <w:t>.</w:t>
      </w:r>
    </w:p>
    <w:p w14:paraId="74C8D84F" w14:textId="77777777" w:rsidR="005D224E" w:rsidRDefault="005D224E" w:rsidP="005D224E">
      <w:pPr>
        <w:pStyle w:val="a5"/>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Проанализировать п</w:t>
      </w:r>
      <w:r w:rsidRPr="00732C7B">
        <w:rPr>
          <w:rFonts w:ascii="Times New Roman" w:hAnsi="Times New Roman" w:cs="Times New Roman"/>
          <w:sz w:val="28"/>
          <w:szCs w:val="28"/>
        </w:rPr>
        <w:t>орядок определения и декларирования таможенной стоимости</w:t>
      </w:r>
      <w:r>
        <w:rPr>
          <w:rFonts w:ascii="Times New Roman" w:hAnsi="Times New Roman" w:cs="Times New Roman"/>
          <w:sz w:val="28"/>
          <w:szCs w:val="28"/>
        </w:rPr>
        <w:t>.</w:t>
      </w:r>
    </w:p>
    <w:p w14:paraId="581F5053" w14:textId="77777777" w:rsidR="005D224E" w:rsidRDefault="005D224E" w:rsidP="005D224E">
      <w:pPr>
        <w:pStyle w:val="a5"/>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Раскрыть п</w:t>
      </w:r>
      <w:r w:rsidRPr="00732C7B">
        <w:rPr>
          <w:rFonts w:ascii="Times New Roman" w:hAnsi="Times New Roman" w:cs="Times New Roman"/>
          <w:sz w:val="28"/>
          <w:szCs w:val="28"/>
        </w:rPr>
        <w:t>орядо</w:t>
      </w:r>
      <w:r>
        <w:rPr>
          <w:rFonts w:ascii="Times New Roman" w:hAnsi="Times New Roman" w:cs="Times New Roman"/>
          <w:sz w:val="28"/>
          <w:szCs w:val="28"/>
        </w:rPr>
        <w:t>к осуществления контроля таможенной стоимости.</w:t>
      </w:r>
    </w:p>
    <w:p w14:paraId="44596348" w14:textId="77777777" w:rsidR="005D224E" w:rsidRPr="001D08F7" w:rsidRDefault="005D224E" w:rsidP="005D224E">
      <w:pPr>
        <w:pStyle w:val="a5"/>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Исследовать порядок отложенного определения таможенной стоимости.</w:t>
      </w:r>
    </w:p>
    <w:p w14:paraId="3442A6E9" w14:textId="77777777" w:rsidR="005D224E" w:rsidRDefault="005D224E" w:rsidP="005D224E">
      <w:pPr>
        <w:pStyle w:val="a5"/>
        <w:numPr>
          <w:ilvl w:val="0"/>
          <w:numId w:val="1"/>
        </w:numPr>
        <w:spacing w:after="0" w:line="360" w:lineRule="auto"/>
        <w:ind w:left="0" w:firstLine="709"/>
        <w:jc w:val="both"/>
        <w:rPr>
          <w:rFonts w:ascii="Times New Roman" w:hAnsi="Times New Roman" w:cs="Times New Roman"/>
          <w:sz w:val="28"/>
          <w:szCs w:val="28"/>
        </w:rPr>
      </w:pPr>
      <w:r w:rsidRPr="001D08F7">
        <w:rPr>
          <w:rFonts w:ascii="Times New Roman" w:hAnsi="Times New Roman" w:cs="Times New Roman"/>
          <w:sz w:val="28"/>
          <w:szCs w:val="28"/>
        </w:rPr>
        <w:t xml:space="preserve">Проанализировать </w:t>
      </w:r>
      <w:r>
        <w:rPr>
          <w:rFonts w:ascii="Times New Roman" w:hAnsi="Times New Roman" w:cs="Times New Roman"/>
          <w:sz w:val="28"/>
          <w:szCs w:val="28"/>
        </w:rPr>
        <w:t>практику</w:t>
      </w:r>
      <w:r w:rsidRPr="00017A7B">
        <w:rPr>
          <w:rFonts w:ascii="Times New Roman" w:hAnsi="Times New Roman" w:cs="Times New Roman"/>
          <w:sz w:val="28"/>
          <w:szCs w:val="28"/>
        </w:rPr>
        <w:t xml:space="preserve"> разрешения споров по вопросам таможенной стоимости</w:t>
      </w:r>
      <w:r>
        <w:rPr>
          <w:rFonts w:ascii="Times New Roman" w:hAnsi="Times New Roman" w:cs="Times New Roman"/>
          <w:sz w:val="28"/>
          <w:szCs w:val="28"/>
        </w:rPr>
        <w:t>.</w:t>
      </w:r>
    </w:p>
    <w:p w14:paraId="7C0A05BE" w14:textId="77777777" w:rsidR="005D224E" w:rsidRPr="001D08F7" w:rsidRDefault="005D224E" w:rsidP="005D224E">
      <w:pPr>
        <w:pStyle w:val="a5"/>
        <w:numPr>
          <w:ilvl w:val="0"/>
          <w:numId w:val="1"/>
        </w:numPr>
        <w:spacing w:after="0" w:line="360" w:lineRule="auto"/>
        <w:ind w:left="0" w:firstLine="709"/>
        <w:jc w:val="both"/>
        <w:rPr>
          <w:rFonts w:ascii="Times New Roman" w:hAnsi="Times New Roman" w:cs="Times New Roman"/>
          <w:sz w:val="28"/>
          <w:szCs w:val="28"/>
        </w:rPr>
      </w:pPr>
      <w:r w:rsidRPr="001D08F7">
        <w:rPr>
          <w:rFonts w:ascii="Times New Roman" w:hAnsi="Times New Roman" w:cs="Times New Roman"/>
          <w:sz w:val="28"/>
          <w:szCs w:val="28"/>
        </w:rPr>
        <w:t>Разработать</w:t>
      </w:r>
      <w:r>
        <w:rPr>
          <w:rFonts w:ascii="Times New Roman" w:hAnsi="Times New Roman" w:cs="Times New Roman"/>
          <w:sz w:val="28"/>
          <w:szCs w:val="28"/>
        </w:rPr>
        <w:t xml:space="preserve"> рекомендации по </w:t>
      </w:r>
      <w:r w:rsidRPr="00017A7B">
        <w:rPr>
          <w:rFonts w:ascii="Times New Roman" w:hAnsi="Times New Roman" w:cs="Times New Roman"/>
          <w:sz w:val="28"/>
          <w:szCs w:val="28"/>
        </w:rPr>
        <w:t>применению методов определения таможенной стоимости</w:t>
      </w:r>
      <w:r w:rsidRPr="001D08F7">
        <w:rPr>
          <w:rFonts w:ascii="Times New Roman" w:hAnsi="Times New Roman" w:cs="Times New Roman"/>
          <w:sz w:val="28"/>
          <w:szCs w:val="28"/>
        </w:rPr>
        <w:t>.</w:t>
      </w:r>
    </w:p>
    <w:p w14:paraId="278B46B5" w14:textId="77777777" w:rsidR="005D224E" w:rsidRDefault="005D224E" w:rsidP="005D224E">
      <w:pPr>
        <w:pStyle w:val="a5"/>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Разработать предложения </w:t>
      </w:r>
      <w:r w:rsidRPr="001D08F7">
        <w:rPr>
          <w:rFonts w:ascii="Times New Roman" w:hAnsi="Times New Roman" w:cs="Times New Roman"/>
          <w:bCs/>
          <w:sz w:val="28"/>
          <w:szCs w:val="28"/>
        </w:rPr>
        <w:t>по минимизации оснований для возникновения споров при определении таможенной стоимости.</w:t>
      </w:r>
    </w:p>
    <w:p w14:paraId="25244AD3" w14:textId="77777777" w:rsidR="005D224E" w:rsidRPr="00AE6026" w:rsidRDefault="005D224E" w:rsidP="005D224E">
      <w:pPr>
        <w:pStyle w:val="a5"/>
        <w:numPr>
          <w:ilvl w:val="0"/>
          <w:numId w:val="1"/>
        </w:numPr>
        <w:spacing w:after="0" w:line="360" w:lineRule="auto"/>
        <w:ind w:left="0" w:firstLine="709"/>
        <w:jc w:val="both"/>
        <w:rPr>
          <w:rFonts w:ascii="Times New Roman" w:hAnsi="Times New Roman" w:cs="Times New Roman"/>
          <w:sz w:val="28"/>
          <w:szCs w:val="28"/>
        </w:rPr>
      </w:pPr>
      <w:r>
        <w:rPr>
          <w:rFonts w:ascii="Times New Roman" w:hAnsi="Times New Roman" w:cs="Times New Roman"/>
          <w:sz w:val="28"/>
          <w:szCs w:val="28"/>
        </w:rPr>
        <w:t>Внести п</w:t>
      </w:r>
      <w:r w:rsidRPr="00017A7B">
        <w:rPr>
          <w:rFonts w:ascii="Times New Roman" w:hAnsi="Times New Roman" w:cs="Times New Roman"/>
          <w:sz w:val="28"/>
          <w:szCs w:val="28"/>
        </w:rPr>
        <w:t>редложения по совершенствованию декларирования и контроля таможенной стоимости</w:t>
      </w:r>
      <w:r>
        <w:rPr>
          <w:rFonts w:ascii="Times New Roman" w:hAnsi="Times New Roman" w:cs="Times New Roman"/>
          <w:sz w:val="28"/>
          <w:szCs w:val="28"/>
        </w:rPr>
        <w:t>.</w:t>
      </w:r>
    </w:p>
    <w:p w14:paraId="7C57358C" w14:textId="77777777" w:rsidR="005D224E" w:rsidRPr="001D08F7" w:rsidRDefault="005D224E" w:rsidP="005D224E">
      <w:pPr>
        <w:spacing w:after="0" w:line="360" w:lineRule="auto"/>
        <w:ind w:firstLine="709"/>
        <w:jc w:val="both"/>
        <w:rPr>
          <w:rFonts w:ascii="Times New Roman" w:hAnsi="Times New Roman" w:cs="Times New Roman"/>
          <w:sz w:val="28"/>
          <w:szCs w:val="28"/>
          <w:bdr w:val="none" w:sz="0" w:space="0" w:color="auto" w:frame="1"/>
        </w:rPr>
      </w:pPr>
      <w:r>
        <w:rPr>
          <w:rFonts w:ascii="Times New Roman" w:hAnsi="Times New Roman" w:cs="Times New Roman"/>
          <w:sz w:val="28"/>
          <w:szCs w:val="28"/>
        </w:rPr>
        <w:t xml:space="preserve">Правовая основа исследования включает </w:t>
      </w:r>
      <w:r w:rsidRPr="00E03247">
        <w:rPr>
          <w:rFonts w:ascii="Times New Roman" w:hAnsi="Times New Roman" w:cs="Times New Roman"/>
          <w:sz w:val="28"/>
          <w:szCs w:val="28"/>
          <w:shd w:val="clear" w:color="auto" w:fill="FFFFFF"/>
        </w:rPr>
        <w:t>Генеральное согла</w:t>
      </w:r>
      <w:r>
        <w:rPr>
          <w:rFonts w:ascii="Times New Roman" w:hAnsi="Times New Roman" w:cs="Times New Roman"/>
          <w:sz w:val="28"/>
          <w:szCs w:val="28"/>
          <w:shd w:val="clear" w:color="auto" w:fill="FFFFFF"/>
        </w:rPr>
        <w:t>шение по тарифам и торговле 1947</w:t>
      </w:r>
      <w:r w:rsidRPr="00E03247">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года</w:t>
      </w:r>
      <w:r>
        <w:rPr>
          <w:rFonts w:ascii="Times New Roman" w:hAnsi="Times New Roman" w:cs="Times New Roman"/>
          <w:sz w:val="28"/>
          <w:szCs w:val="28"/>
        </w:rPr>
        <w:t xml:space="preserve">, </w:t>
      </w:r>
      <w:r>
        <w:rPr>
          <w:rFonts w:ascii="Times New Roman" w:hAnsi="Times New Roman" w:cs="Times New Roman"/>
          <w:sz w:val="28"/>
          <w:szCs w:val="28"/>
          <w:bdr w:val="none" w:sz="0" w:space="0" w:color="auto" w:frame="1"/>
        </w:rPr>
        <w:t xml:space="preserve">Соглашение </w:t>
      </w:r>
      <w:r w:rsidRPr="00E03247">
        <w:rPr>
          <w:rFonts w:ascii="Times New Roman" w:hAnsi="Times New Roman" w:cs="Times New Roman"/>
          <w:sz w:val="28"/>
          <w:szCs w:val="28"/>
          <w:shd w:val="clear" w:color="auto" w:fill="FFFFFF"/>
        </w:rPr>
        <w:t>о применении статьи VII ГАТТ-1994</w:t>
      </w:r>
      <w:r>
        <w:rPr>
          <w:rFonts w:ascii="Times New Roman" w:hAnsi="Times New Roman" w:cs="Times New Roman"/>
          <w:sz w:val="28"/>
          <w:szCs w:val="28"/>
        </w:rPr>
        <w:t>,</w:t>
      </w:r>
      <w:r>
        <w:rPr>
          <w:rFonts w:ascii="Times New Roman" w:hAnsi="Times New Roman" w:cs="Times New Roman"/>
          <w:sz w:val="28"/>
          <w:szCs w:val="28"/>
          <w:bdr w:val="none" w:sz="0" w:space="0" w:color="auto" w:frame="1"/>
        </w:rPr>
        <w:t xml:space="preserve"> </w:t>
      </w:r>
      <w:r w:rsidRPr="00A11F83">
        <w:rPr>
          <w:rFonts w:ascii="Times New Roman" w:hAnsi="Times New Roman" w:cs="Times New Roman"/>
          <w:bCs/>
          <w:sz w:val="28"/>
          <w:szCs w:val="28"/>
          <w:bdr w:val="none" w:sz="0" w:space="0" w:color="auto" w:frame="1"/>
        </w:rPr>
        <w:t>Таможенный кодекс Евразийского эк</w:t>
      </w:r>
      <w:r>
        <w:rPr>
          <w:rFonts w:ascii="Times New Roman" w:hAnsi="Times New Roman" w:cs="Times New Roman"/>
          <w:bCs/>
          <w:sz w:val="28"/>
          <w:szCs w:val="28"/>
          <w:bdr w:val="none" w:sz="0" w:space="0" w:color="auto" w:frame="1"/>
        </w:rPr>
        <w:t>ономического союза,</w:t>
      </w:r>
      <w:r w:rsidRPr="001D08F7">
        <w:rPr>
          <w:rFonts w:ascii="Times New Roman" w:hAnsi="Times New Roman" w:cs="Times New Roman"/>
          <w:bCs/>
          <w:sz w:val="28"/>
          <w:szCs w:val="28"/>
          <w:bdr w:val="none" w:sz="0" w:space="0" w:color="auto" w:frame="1"/>
        </w:rPr>
        <w:t xml:space="preserve"> </w:t>
      </w:r>
      <w:r>
        <w:rPr>
          <w:rFonts w:ascii="Times New Roman" w:hAnsi="Times New Roman" w:cs="Times New Roman"/>
          <w:bCs/>
          <w:sz w:val="28"/>
          <w:szCs w:val="28"/>
          <w:bdr w:val="none" w:sz="0" w:space="0" w:color="auto" w:frame="1"/>
        </w:rPr>
        <w:t>Федеральный закон «</w:t>
      </w:r>
      <w:r w:rsidRPr="00C9643F">
        <w:rPr>
          <w:rFonts w:ascii="Times New Roman" w:hAnsi="Times New Roman" w:cs="Times New Roman"/>
          <w:bCs/>
          <w:sz w:val="28"/>
          <w:szCs w:val="28"/>
          <w:bdr w:val="none" w:sz="0" w:space="0" w:color="auto" w:frame="1"/>
        </w:rPr>
        <w:t xml:space="preserve">О таможенном регулировании в Российской Федерации и о внесении </w:t>
      </w:r>
      <w:r w:rsidRPr="00C9643F">
        <w:rPr>
          <w:rFonts w:ascii="Times New Roman" w:hAnsi="Times New Roman" w:cs="Times New Roman"/>
          <w:bCs/>
          <w:sz w:val="28"/>
          <w:szCs w:val="28"/>
          <w:bdr w:val="none" w:sz="0" w:space="0" w:color="auto" w:frame="1"/>
        </w:rPr>
        <w:lastRenderedPageBreak/>
        <w:t>изменений в отдельные законодате</w:t>
      </w:r>
      <w:r>
        <w:rPr>
          <w:rFonts w:ascii="Times New Roman" w:hAnsi="Times New Roman" w:cs="Times New Roman"/>
          <w:bCs/>
          <w:sz w:val="28"/>
          <w:szCs w:val="28"/>
          <w:bdr w:val="none" w:sz="0" w:space="0" w:color="auto" w:frame="1"/>
        </w:rPr>
        <w:t xml:space="preserve">льные акты Российской Федерации», </w:t>
      </w:r>
      <w:r w:rsidRPr="00C9643F">
        <w:rPr>
          <w:rFonts w:ascii="Times New Roman" w:hAnsi="Times New Roman" w:cs="Times New Roman"/>
          <w:bCs/>
          <w:sz w:val="28"/>
          <w:szCs w:val="28"/>
          <w:bdr w:val="none" w:sz="0" w:space="0" w:color="auto" w:frame="1"/>
        </w:rPr>
        <w:t>Постановление Правительства Российской Федерации</w:t>
      </w:r>
      <w:r>
        <w:rPr>
          <w:rFonts w:ascii="Times New Roman" w:hAnsi="Times New Roman" w:cs="Times New Roman"/>
          <w:bCs/>
          <w:sz w:val="28"/>
          <w:szCs w:val="28"/>
          <w:bdr w:val="none" w:sz="0" w:space="0" w:color="auto" w:frame="1"/>
        </w:rPr>
        <w:t xml:space="preserve"> </w:t>
      </w:r>
      <w:r w:rsidRPr="00C9643F">
        <w:rPr>
          <w:rFonts w:ascii="Times New Roman" w:hAnsi="Times New Roman" w:cs="Times New Roman"/>
          <w:bCs/>
          <w:sz w:val="28"/>
          <w:szCs w:val="28"/>
          <w:bdr w:val="none" w:sz="0" w:space="0" w:color="auto" w:frame="1"/>
        </w:rPr>
        <w:t>от 16 декабря 2</w:t>
      </w:r>
      <w:r>
        <w:rPr>
          <w:rFonts w:ascii="Times New Roman" w:hAnsi="Times New Roman" w:cs="Times New Roman"/>
          <w:bCs/>
          <w:sz w:val="28"/>
          <w:szCs w:val="28"/>
          <w:bdr w:val="none" w:sz="0" w:space="0" w:color="auto" w:frame="1"/>
        </w:rPr>
        <w:t>019 г. №</w:t>
      </w:r>
      <w:r w:rsidRPr="00C9643F">
        <w:rPr>
          <w:rFonts w:ascii="Times New Roman" w:hAnsi="Times New Roman" w:cs="Times New Roman"/>
          <w:bCs/>
          <w:sz w:val="28"/>
          <w:szCs w:val="28"/>
          <w:bdr w:val="none" w:sz="0" w:space="0" w:color="auto" w:frame="1"/>
        </w:rPr>
        <w:t xml:space="preserve"> 1694</w:t>
      </w:r>
      <w:r>
        <w:rPr>
          <w:rFonts w:ascii="Times New Roman" w:hAnsi="Times New Roman" w:cs="Times New Roman"/>
          <w:bCs/>
          <w:sz w:val="28"/>
          <w:szCs w:val="28"/>
          <w:bdr w:val="none" w:sz="0" w:space="0" w:color="auto" w:frame="1"/>
        </w:rPr>
        <w:t xml:space="preserve"> «</w:t>
      </w:r>
      <w:r w:rsidRPr="00C9643F">
        <w:rPr>
          <w:rFonts w:ascii="Times New Roman" w:hAnsi="Times New Roman" w:cs="Times New Roman"/>
          <w:bCs/>
          <w:sz w:val="28"/>
          <w:szCs w:val="28"/>
          <w:bdr w:val="none" w:sz="0" w:space="0" w:color="auto" w:frame="1"/>
        </w:rPr>
        <w:t>Об утверждении Правил определения таможенной стоимости товаров,</w:t>
      </w:r>
      <w:r>
        <w:rPr>
          <w:rFonts w:ascii="Times New Roman" w:hAnsi="Times New Roman" w:cs="Times New Roman"/>
          <w:bCs/>
          <w:sz w:val="28"/>
          <w:szCs w:val="28"/>
          <w:bdr w:val="none" w:sz="0" w:space="0" w:color="auto" w:frame="1"/>
        </w:rPr>
        <w:t xml:space="preserve"> </w:t>
      </w:r>
      <w:r w:rsidRPr="00C9643F">
        <w:rPr>
          <w:rFonts w:ascii="Times New Roman" w:hAnsi="Times New Roman" w:cs="Times New Roman"/>
          <w:bCs/>
          <w:sz w:val="28"/>
          <w:szCs w:val="28"/>
          <w:bdr w:val="none" w:sz="0" w:space="0" w:color="auto" w:frame="1"/>
        </w:rPr>
        <w:t>вы</w:t>
      </w:r>
      <w:r>
        <w:rPr>
          <w:rFonts w:ascii="Times New Roman" w:hAnsi="Times New Roman" w:cs="Times New Roman"/>
          <w:bCs/>
          <w:sz w:val="28"/>
          <w:szCs w:val="28"/>
          <w:bdr w:val="none" w:sz="0" w:space="0" w:color="auto" w:frame="1"/>
        </w:rPr>
        <w:t>возимых из Российской Федерации».</w:t>
      </w:r>
      <w:r w:rsidRPr="00C9643F">
        <w:rPr>
          <w:rFonts w:ascii="Times New Roman" w:hAnsi="Times New Roman" w:cs="Times New Roman"/>
          <w:sz w:val="28"/>
          <w:szCs w:val="28"/>
        </w:rPr>
        <w:t xml:space="preserve"> </w:t>
      </w:r>
    </w:p>
    <w:p w14:paraId="38AE4534" w14:textId="77777777" w:rsidR="005D224E" w:rsidRPr="00432A21" w:rsidRDefault="005D224E" w:rsidP="005D224E">
      <w:pPr>
        <w:pStyle w:val="a5"/>
        <w:spacing w:after="0" w:line="360" w:lineRule="auto"/>
        <w:ind w:left="0" w:firstLine="709"/>
        <w:jc w:val="both"/>
        <w:rPr>
          <w:rFonts w:ascii="Times New Roman" w:eastAsia="Calibri" w:hAnsi="Times New Roman" w:cs="Times New Roman"/>
          <w:color w:val="000000"/>
          <w:sz w:val="28"/>
          <w:szCs w:val="28"/>
        </w:rPr>
      </w:pPr>
      <w:r>
        <w:rPr>
          <w:rFonts w:ascii="Times New Roman" w:eastAsia="Times New Roman" w:hAnsi="Times New Roman" w:cs="Times New Roman"/>
          <w:sz w:val="28"/>
          <w:lang w:eastAsia="ru-RU"/>
        </w:rPr>
        <w:t xml:space="preserve">Теоретическую основу исследования составили труды ученых: </w:t>
      </w:r>
      <w:r>
        <w:rPr>
          <w:rFonts w:ascii="Times New Roman" w:eastAsia="Calibri" w:hAnsi="Times New Roman" w:cs="Times New Roman"/>
          <w:color w:val="000000"/>
          <w:sz w:val="28"/>
          <w:szCs w:val="28"/>
        </w:rPr>
        <w:t xml:space="preserve">Новиков В.Е., </w:t>
      </w:r>
      <w:proofErr w:type="spellStart"/>
      <w:r>
        <w:rPr>
          <w:rFonts w:ascii="Times New Roman" w:eastAsia="Calibri" w:hAnsi="Times New Roman" w:cs="Times New Roman"/>
          <w:color w:val="000000"/>
          <w:sz w:val="28"/>
          <w:szCs w:val="28"/>
        </w:rPr>
        <w:t>Ревин</w:t>
      </w:r>
      <w:proofErr w:type="spellEnd"/>
      <w:r>
        <w:rPr>
          <w:rFonts w:ascii="Times New Roman" w:eastAsia="Calibri" w:hAnsi="Times New Roman" w:cs="Times New Roman"/>
          <w:color w:val="000000"/>
          <w:sz w:val="28"/>
          <w:szCs w:val="28"/>
        </w:rPr>
        <w:t xml:space="preserve"> В.Н., </w:t>
      </w:r>
      <w:proofErr w:type="spellStart"/>
      <w:r>
        <w:rPr>
          <w:rFonts w:ascii="Times New Roman" w:eastAsia="Calibri" w:hAnsi="Times New Roman" w:cs="Times New Roman"/>
          <w:color w:val="000000"/>
          <w:sz w:val="28"/>
          <w:szCs w:val="28"/>
        </w:rPr>
        <w:t>Цветинский</w:t>
      </w:r>
      <w:proofErr w:type="spellEnd"/>
      <w:r>
        <w:rPr>
          <w:rFonts w:ascii="Times New Roman" w:eastAsia="Calibri" w:hAnsi="Times New Roman" w:cs="Times New Roman"/>
          <w:color w:val="000000"/>
          <w:sz w:val="28"/>
          <w:szCs w:val="28"/>
        </w:rPr>
        <w:t xml:space="preserve"> М.П. </w:t>
      </w:r>
      <w:r w:rsidRPr="008B3F86">
        <w:rPr>
          <w:rFonts w:ascii="Times New Roman" w:eastAsia="Calibri" w:hAnsi="Times New Roman" w:cs="Times New Roman"/>
          <w:color w:val="000000"/>
          <w:sz w:val="28"/>
          <w:szCs w:val="28"/>
        </w:rPr>
        <w:t>«</w:t>
      </w:r>
      <w:r w:rsidRPr="0043737C">
        <w:rPr>
          <w:rFonts w:ascii="Times New Roman" w:hAnsi="Times New Roman" w:cs="Times New Roman"/>
          <w:sz w:val="28"/>
          <w:szCs w:val="28"/>
          <w:bdr w:val="none" w:sz="0" w:space="0" w:color="auto" w:frame="1"/>
        </w:rPr>
        <w:t>Таможенно-тарифное регулирование внешнеэкономической деятельно</w:t>
      </w:r>
      <w:r>
        <w:rPr>
          <w:rFonts w:ascii="Times New Roman" w:hAnsi="Times New Roman" w:cs="Times New Roman"/>
          <w:sz w:val="28"/>
          <w:szCs w:val="28"/>
          <w:bdr w:val="none" w:sz="0" w:space="0" w:color="auto" w:frame="1"/>
        </w:rPr>
        <w:t>сти и таможенная стоимость</w:t>
      </w:r>
      <w:r>
        <w:rPr>
          <w:rFonts w:ascii="Times New Roman" w:eastAsia="Calibri" w:hAnsi="Times New Roman" w:cs="Times New Roman"/>
          <w:color w:val="000000"/>
          <w:sz w:val="28"/>
          <w:szCs w:val="28"/>
        </w:rPr>
        <w:t xml:space="preserve">», </w:t>
      </w:r>
      <w:proofErr w:type="spellStart"/>
      <w:r>
        <w:rPr>
          <w:rFonts w:ascii="Times New Roman" w:eastAsia="Calibri" w:hAnsi="Times New Roman" w:cs="Times New Roman"/>
          <w:color w:val="000000"/>
          <w:sz w:val="28"/>
          <w:szCs w:val="28"/>
        </w:rPr>
        <w:t>Мокров</w:t>
      </w:r>
      <w:proofErr w:type="spellEnd"/>
      <w:r>
        <w:rPr>
          <w:rFonts w:ascii="Times New Roman" w:eastAsia="Calibri" w:hAnsi="Times New Roman" w:cs="Times New Roman"/>
          <w:color w:val="000000"/>
          <w:sz w:val="28"/>
          <w:szCs w:val="28"/>
        </w:rPr>
        <w:t xml:space="preserve"> Г.Г. </w:t>
      </w:r>
      <w:r w:rsidRPr="008B3F86">
        <w:rPr>
          <w:rFonts w:ascii="Times New Roman" w:eastAsia="Calibri" w:hAnsi="Times New Roman" w:cs="Times New Roman"/>
          <w:color w:val="000000"/>
          <w:sz w:val="28"/>
          <w:szCs w:val="28"/>
        </w:rPr>
        <w:t>«</w:t>
      </w:r>
      <w:r>
        <w:rPr>
          <w:rFonts w:ascii="Times New Roman" w:eastAsia="Calibri" w:hAnsi="Times New Roman" w:cs="Times New Roman"/>
          <w:color w:val="000000"/>
          <w:sz w:val="28"/>
          <w:szCs w:val="28"/>
        </w:rPr>
        <w:t>П</w:t>
      </w:r>
      <w:r w:rsidRPr="00432A21">
        <w:rPr>
          <w:rFonts w:ascii="Times New Roman" w:eastAsia="Calibri" w:hAnsi="Times New Roman" w:cs="Times New Roman"/>
          <w:color w:val="000000"/>
          <w:sz w:val="28"/>
          <w:szCs w:val="28"/>
        </w:rPr>
        <w:t xml:space="preserve">рактика применения процедуры отложенного определения </w:t>
      </w:r>
      <w:r>
        <w:rPr>
          <w:rFonts w:ascii="Times New Roman" w:eastAsia="Calibri" w:hAnsi="Times New Roman" w:cs="Times New Roman"/>
          <w:color w:val="000000"/>
          <w:sz w:val="28"/>
          <w:szCs w:val="28"/>
        </w:rPr>
        <w:t>т</w:t>
      </w:r>
      <w:r w:rsidRPr="00432A21">
        <w:rPr>
          <w:rFonts w:ascii="Times New Roman" w:eastAsia="Calibri" w:hAnsi="Times New Roman" w:cs="Times New Roman"/>
          <w:color w:val="000000"/>
          <w:sz w:val="28"/>
          <w:szCs w:val="28"/>
        </w:rPr>
        <w:t>аможенной стоимости товаров при формировании цены на торгах мировых бирж»,</w:t>
      </w:r>
      <w:r w:rsidRPr="00432A21">
        <w:rPr>
          <w:rFonts w:ascii="Times New Roman" w:hAnsi="Times New Roman" w:cs="Times New Roman"/>
          <w:sz w:val="28"/>
          <w:szCs w:val="28"/>
        </w:rPr>
        <w:t xml:space="preserve"> </w:t>
      </w:r>
      <w:proofErr w:type="spellStart"/>
      <w:r w:rsidRPr="00432A21">
        <w:rPr>
          <w:rFonts w:ascii="Times New Roman" w:hAnsi="Times New Roman" w:cs="Times New Roman"/>
          <w:sz w:val="28"/>
          <w:szCs w:val="28"/>
        </w:rPr>
        <w:t>Витюк</w:t>
      </w:r>
      <w:proofErr w:type="spellEnd"/>
      <w:r w:rsidRPr="00432A21">
        <w:rPr>
          <w:rFonts w:ascii="Times New Roman" w:hAnsi="Times New Roman" w:cs="Times New Roman"/>
          <w:sz w:val="28"/>
          <w:szCs w:val="28"/>
        </w:rPr>
        <w:t xml:space="preserve"> В.В., Федоренко К.П.,</w:t>
      </w:r>
      <w:r>
        <w:rPr>
          <w:rFonts w:ascii="Times New Roman" w:hAnsi="Times New Roman" w:cs="Times New Roman"/>
          <w:sz w:val="28"/>
          <w:szCs w:val="28"/>
        </w:rPr>
        <w:t xml:space="preserve"> «К вопросу о влиянии корректного определения таможенной стоимости товаров на экономическую эффективность экспортно-импортных операций»</w:t>
      </w:r>
      <w:r w:rsidRPr="00432A21">
        <w:rPr>
          <w:rFonts w:ascii="Times New Roman" w:eastAsia="Calibri" w:hAnsi="Times New Roman" w:cs="Times New Roman"/>
          <w:color w:val="000000"/>
          <w:sz w:val="28"/>
          <w:szCs w:val="28"/>
        </w:rPr>
        <w:t xml:space="preserve"> </w:t>
      </w:r>
      <w:r w:rsidRPr="00432A21">
        <w:rPr>
          <w:rFonts w:ascii="Times New Roman" w:hAnsi="Times New Roman" w:cs="Times New Roman"/>
          <w:sz w:val="28"/>
          <w:szCs w:val="28"/>
        </w:rPr>
        <w:t>и т.д.</w:t>
      </w:r>
    </w:p>
    <w:p w14:paraId="10A1B3C9" w14:textId="77777777" w:rsidR="005D224E" w:rsidRPr="00DC46E0"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Эмпирическую базу исследования со</w:t>
      </w:r>
      <w:r>
        <w:rPr>
          <w:rFonts w:ascii="Times New Roman" w:hAnsi="Times New Roman" w:cs="Times New Roman"/>
          <w:sz w:val="28"/>
          <w:szCs w:val="28"/>
        </w:rPr>
        <w:t>ставили статистические данные Министерства финансов РФ, Федеральной таможенной службы России, а также статистические и аналитические данные отдела контроля таможенной стоимости Шереметьевской таможни.</w:t>
      </w:r>
    </w:p>
    <w:p w14:paraId="267ADBF8" w14:textId="77777777" w:rsidR="005D224E" w:rsidRPr="00734B7B" w:rsidRDefault="005D224E" w:rsidP="005D224E">
      <w:pPr>
        <w:spacing w:after="0" w:line="360" w:lineRule="auto"/>
        <w:ind w:firstLine="709"/>
        <w:jc w:val="both"/>
        <w:rPr>
          <w:rFonts w:ascii="Times New Roman" w:hAnsi="Times New Roman" w:cs="Times New Roman"/>
          <w:sz w:val="28"/>
          <w:szCs w:val="28"/>
        </w:rPr>
      </w:pPr>
      <w:r w:rsidRPr="004B6ABF">
        <w:rPr>
          <w:rFonts w:ascii="Times New Roman" w:eastAsia="Calibri" w:hAnsi="Times New Roman" w:cs="Times New Roman"/>
          <w:bCs/>
          <w:sz w:val="28"/>
          <w:szCs w:val="28"/>
        </w:rPr>
        <w:t xml:space="preserve">Структура </w:t>
      </w:r>
      <w:r w:rsidRPr="004B6ABF">
        <w:rPr>
          <w:rFonts w:ascii="Times New Roman" w:eastAsia="Calibri" w:hAnsi="Times New Roman" w:cs="Times New Roman"/>
          <w:sz w:val="28"/>
          <w:szCs w:val="28"/>
        </w:rPr>
        <w:t>научно-исследовательской работы построена с учетом основных целей и задач исследования и состоит из введения, трех глав, заключения и списка использованных источников</w:t>
      </w:r>
      <w:r>
        <w:rPr>
          <w:rFonts w:ascii="Times New Roman" w:eastAsia="Calibri" w:hAnsi="Times New Roman" w:cs="Times New Roman"/>
          <w:color w:val="000000"/>
          <w:sz w:val="28"/>
          <w:szCs w:val="28"/>
        </w:rPr>
        <w:t xml:space="preserve">. Для решения поставленных задач использовались следующие методы исследования: обобщение, классификация, </w:t>
      </w:r>
      <w:r w:rsidRPr="00E03247">
        <w:rPr>
          <w:rFonts w:ascii="Times New Roman" w:hAnsi="Times New Roman" w:cs="Times New Roman"/>
          <w:sz w:val="28"/>
          <w:szCs w:val="28"/>
        </w:rPr>
        <w:t>формальная и диалектическая логика, комплексный анализа и синтез, сравнительный анализ; метод системного анализа; структурный подход.</w:t>
      </w:r>
      <w:r>
        <w:rPr>
          <w:rFonts w:ascii="Times New Roman" w:eastAsia="Calibri" w:hAnsi="Times New Roman" w:cs="Times New Roman"/>
          <w:color w:val="000000"/>
          <w:sz w:val="28"/>
          <w:szCs w:val="28"/>
        </w:rPr>
        <w:br w:type="page"/>
      </w:r>
    </w:p>
    <w:p w14:paraId="52558A8A" w14:textId="77777777" w:rsidR="005D224E" w:rsidRDefault="005D224E" w:rsidP="005D224E">
      <w:pPr>
        <w:pStyle w:val="a3"/>
        <w:suppressAutoHyphens/>
        <w:spacing w:before="0" w:line="240" w:lineRule="auto"/>
        <w:jc w:val="center"/>
        <w:rPr>
          <w:color w:val="auto"/>
        </w:rPr>
      </w:pPr>
      <w:bookmarkStart w:id="0" w:name="_Toc152675669"/>
      <w:r w:rsidRPr="00A42741">
        <w:rPr>
          <w:color w:val="auto"/>
        </w:rPr>
        <w:lastRenderedPageBreak/>
        <w:t>ГЛАВА 1. ТЕОРЕТИЧЕСКИЕ И ОРГАНИЗАЦИОННО-ПРАВОВЫЕ ОСНОВЫ ТАМОЖЕННОЙ ОЦЕНКИ ТОВАРОВ</w:t>
      </w:r>
      <w:bookmarkEnd w:id="0"/>
    </w:p>
    <w:p w14:paraId="36B0BAFB" w14:textId="77777777" w:rsidR="005D224E" w:rsidRPr="00A42741" w:rsidRDefault="005D224E" w:rsidP="005D224E">
      <w:pPr>
        <w:pStyle w:val="a3"/>
        <w:suppressAutoHyphens/>
        <w:spacing w:before="0" w:line="240" w:lineRule="auto"/>
        <w:rPr>
          <w:color w:val="auto"/>
        </w:rPr>
      </w:pPr>
    </w:p>
    <w:p w14:paraId="350209C6" w14:textId="38F4B367" w:rsidR="005D224E" w:rsidRDefault="005D224E" w:rsidP="005D224E">
      <w:pPr>
        <w:pStyle w:val="a3"/>
        <w:suppressAutoHyphens/>
        <w:spacing w:before="0" w:line="240" w:lineRule="auto"/>
        <w:jc w:val="center"/>
        <w:rPr>
          <w:color w:val="auto"/>
        </w:rPr>
      </w:pPr>
      <w:bookmarkStart w:id="1" w:name="_Toc152675670"/>
      <w:r w:rsidRPr="00A42741">
        <w:rPr>
          <w:color w:val="auto"/>
        </w:rPr>
        <w:t xml:space="preserve">1.1. </w:t>
      </w:r>
      <w:r w:rsidR="00634BB1">
        <w:rPr>
          <w:color w:val="auto"/>
        </w:rPr>
        <w:t>Общая характеристика, с</w:t>
      </w:r>
      <w:r w:rsidRPr="00A42741">
        <w:rPr>
          <w:color w:val="auto"/>
        </w:rPr>
        <w:t>ущность</w:t>
      </w:r>
      <w:r w:rsidR="00634BB1">
        <w:rPr>
          <w:color w:val="auto"/>
        </w:rPr>
        <w:t xml:space="preserve"> и методы определения</w:t>
      </w:r>
      <w:r w:rsidRPr="00A42741">
        <w:rPr>
          <w:color w:val="auto"/>
        </w:rPr>
        <w:t xml:space="preserve"> таможенной стоимости</w:t>
      </w:r>
      <w:bookmarkEnd w:id="1"/>
    </w:p>
    <w:p w14:paraId="2A3DBB8F" w14:textId="77777777" w:rsidR="005D224E" w:rsidRDefault="005D224E" w:rsidP="005D224E">
      <w:pPr>
        <w:pStyle w:val="a3"/>
        <w:suppressAutoHyphens/>
        <w:spacing w:before="0" w:line="360" w:lineRule="auto"/>
        <w:rPr>
          <w:color w:val="auto"/>
        </w:rPr>
      </w:pPr>
    </w:p>
    <w:p w14:paraId="1D51337E" w14:textId="77777777" w:rsidR="005D224E" w:rsidRPr="00E03247"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 xml:space="preserve">По мере накопления эмпирического опыта на международном уровне в практике таможенного дела понятие таможенная стоимость имеет значительное количество вариантов. Таможенная стоимость </w:t>
      </w:r>
      <w:r w:rsidRPr="00E03247">
        <w:rPr>
          <w:rFonts w:ascii="Times New Roman" w:hAnsi="Times New Roman" w:cs="Times New Roman"/>
          <w:sz w:val="28"/>
          <w:szCs w:val="28"/>
        </w:rPr>
        <w:softHyphen/>
        <w:t>– баз</w:t>
      </w:r>
      <w:r>
        <w:rPr>
          <w:rFonts w:ascii="Times New Roman" w:hAnsi="Times New Roman" w:cs="Times New Roman"/>
          <w:sz w:val="28"/>
          <w:szCs w:val="28"/>
        </w:rPr>
        <w:t>а для исчисления таможенных сборов, таможенных пошлин, рассчитываемых</w:t>
      </w:r>
      <w:r w:rsidRPr="00E03247">
        <w:rPr>
          <w:rFonts w:ascii="Times New Roman" w:hAnsi="Times New Roman" w:cs="Times New Roman"/>
          <w:sz w:val="28"/>
          <w:szCs w:val="28"/>
        </w:rPr>
        <w:t xml:space="preserve"> по адвалорной ставке, а также </w:t>
      </w:r>
      <w:r>
        <w:rPr>
          <w:rFonts w:ascii="Times New Roman" w:hAnsi="Times New Roman" w:cs="Times New Roman"/>
          <w:sz w:val="28"/>
          <w:szCs w:val="28"/>
        </w:rPr>
        <w:t>для мер защиты внутреннего рынка (антидемпинговой, компенсационной, специальной пошлинам</w:t>
      </w:r>
      <w:r w:rsidRPr="00E03247">
        <w:rPr>
          <w:rFonts w:ascii="Times New Roman" w:hAnsi="Times New Roman" w:cs="Times New Roman"/>
          <w:sz w:val="28"/>
          <w:szCs w:val="28"/>
        </w:rPr>
        <w:t>)</w:t>
      </w:r>
      <w:r>
        <w:rPr>
          <w:rFonts w:ascii="Times New Roman" w:hAnsi="Times New Roman" w:cs="Times New Roman"/>
          <w:sz w:val="28"/>
          <w:szCs w:val="28"/>
        </w:rPr>
        <w:t>, важная</w:t>
      </w:r>
      <w:r w:rsidRPr="006B6CDB">
        <w:rPr>
          <w:rFonts w:ascii="Times New Roman" w:hAnsi="Times New Roman" w:cs="Times New Roman"/>
          <w:sz w:val="28"/>
          <w:szCs w:val="28"/>
        </w:rPr>
        <w:t xml:space="preserve"> </w:t>
      </w:r>
      <w:r>
        <w:rPr>
          <w:rFonts w:ascii="Times New Roman" w:hAnsi="Times New Roman" w:cs="Times New Roman"/>
          <w:sz w:val="28"/>
          <w:szCs w:val="28"/>
        </w:rPr>
        <w:t>составляющей налоговой базы НДС</w:t>
      </w:r>
      <w:r w:rsidRPr="00E03247">
        <w:rPr>
          <w:rFonts w:ascii="Times New Roman" w:hAnsi="Times New Roman" w:cs="Times New Roman"/>
          <w:sz w:val="28"/>
          <w:szCs w:val="28"/>
        </w:rPr>
        <w:t>. Также она является инструментом тарифного регулирования, мер нетарифного регулирования, и важной информационной составляющей для ведения таможенной статистики.</w:t>
      </w:r>
    </w:p>
    <w:p w14:paraId="4F313ABF" w14:textId="77777777" w:rsidR="005D224E" w:rsidRPr="008452E8"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Смитиенко Е.О. в своей работе раскрывает таможенную стоимость как стоимость осуществления внешнеэкономической сделки, включающая фактурную цену товара и сопутствующие ей расходы, которая ис</w:t>
      </w:r>
      <w:r>
        <w:rPr>
          <w:rFonts w:ascii="Times New Roman" w:hAnsi="Times New Roman" w:cs="Times New Roman"/>
          <w:sz w:val="28"/>
          <w:szCs w:val="28"/>
        </w:rPr>
        <w:t>пользуется для таможенных целей</w:t>
      </w:r>
      <w:r w:rsidRPr="008452E8">
        <w:rPr>
          <w:rFonts w:ascii="Times New Roman" w:hAnsi="Times New Roman" w:cs="Times New Roman"/>
          <w:sz w:val="28"/>
          <w:szCs w:val="28"/>
        </w:rPr>
        <w:t>.</w:t>
      </w:r>
    </w:p>
    <w:p w14:paraId="2EA7804A" w14:textId="77777777" w:rsidR="005D224E" w:rsidRPr="00E03247"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Экономическая природа таможенной стоимости заключается в том, что она является базой дл</w:t>
      </w:r>
      <w:r>
        <w:rPr>
          <w:rFonts w:ascii="Times New Roman" w:hAnsi="Times New Roman" w:cs="Times New Roman"/>
          <w:sz w:val="28"/>
          <w:szCs w:val="28"/>
        </w:rPr>
        <w:t>я исчисления таможенной пошлины, налогов</w:t>
      </w:r>
      <w:r w:rsidRPr="00E03247">
        <w:rPr>
          <w:rFonts w:ascii="Times New Roman" w:hAnsi="Times New Roman" w:cs="Times New Roman"/>
          <w:sz w:val="28"/>
          <w:szCs w:val="28"/>
        </w:rPr>
        <w:t>, основой для формирования таможенной статистики, основой для определения эффективной ставки таможенного тарифа, а также создает равные конкурентные условия.</w:t>
      </w:r>
    </w:p>
    <w:p w14:paraId="6AF1549F" w14:textId="77777777" w:rsidR="005D224E"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В соответствии с пунктом 2 статьи 51 ТК</w:t>
      </w:r>
      <w:r>
        <w:rPr>
          <w:rFonts w:ascii="Times New Roman" w:hAnsi="Times New Roman" w:cs="Times New Roman"/>
          <w:sz w:val="28"/>
          <w:szCs w:val="28"/>
        </w:rPr>
        <w:t xml:space="preserve"> ЕАЭС</w:t>
      </w:r>
      <w:r w:rsidRPr="00E03247">
        <w:rPr>
          <w:rFonts w:ascii="Times New Roman" w:hAnsi="Times New Roman" w:cs="Times New Roman"/>
          <w:sz w:val="28"/>
          <w:szCs w:val="28"/>
        </w:rPr>
        <w:t xml:space="preserve"> базой для исчисления таможенной пошлины является таможенная стоимость товаров или их физическая характеристика в натуральном выражении. </w:t>
      </w:r>
    </w:p>
    <w:p w14:paraId="47484B60"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Таможенная стоимость, которая является ценой товара на внешнем рынке при его прибытии на таможенную границу страны ввоза, используется для осуществления сопоставления цен внешнего рынка с ценами отечественных производителей.</w:t>
      </w:r>
      <w:r w:rsidRPr="00E143BA">
        <w:rPr>
          <w:rFonts w:ascii="Times New Roman" w:hAnsi="Times New Roman" w:cs="Times New Roman"/>
          <w:sz w:val="28"/>
          <w:szCs w:val="28"/>
        </w:rPr>
        <w:t xml:space="preserve"> </w:t>
      </w:r>
      <w:r>
        <w:rPr>
          <w:rFonts w:ascii="Times New Roman" w:hAnsi="Times New Roman" w:cs="Times New Roman"/>
          <w:sz w:val="28"/>
          <w:szCs w:val="28"/>
        </w:rPr>
        <w:t>Таможенная стоимость –</w:t>
      </w:r>
      <w:r w:rsidRPr="00B071E8">
        <w:rPr>
          <w:rFonts w:ascii="Times New Roman" w:hAnsi="Times New Roman" w:cs="Times New Roman"/>
          <w:sz w:val="28"/>
          <w:szCs w:val="28"/>
        </w:rPr>
        <w:t xml:space="preserve"> </w:t>
      </w:r>
      <w:r>
        <w:rPr>
          <w:rFonts w:ascii="Times New Roman" w:hAnsi="Times New Roman" w:cs="Times New Roman"/>
          <w:sz w:val="28"/>
          <w:szCs w:val="28"/>
        </w:rPr>
        <w:t>основа для контроля за выво</w:t>
      </w:r>
      <w:r w:rsidRPr="00B071E8">
        <w:rPr>
          <w:rFonts w:ascii="Times New Roman" w:hAnsi="Times New Roman" w:cs="Times New Roman"/>
          <w:sz w:val="28"/>
          <w:szCs w:val="28"/>
        </w:rPr>
        <w:t xml:space="preserve">зом </w:t>
      </w:r>
      <w:r w:rsidRPr="00B071E8">
        <w:rPr>
          <w:rFonts w:ascii="Times New Roman" w:hAnsi="Times New Roman" w:cs="Times New Roman"/>
          <w:sz w:val="28"/>
          <w:szCs w:val="28"/>
        </w:rPr>
        <w:lastRenderedPageBreak/>
        <w:t xml:space="preserve">средств </w:t>
      </w:r>
      <w:r>
        <w:rPr>
          <w:rFonts w:ascii="Times New Roman" w:hAnsi="Times New Roman" w:cs="Times New Roman"/>
          <w:sz w:val="28"/>
          <w:szCs w:val="28"/>
        </w:rPr>
        <w:t>и, следовательно, за уплату им</w:t>
      </w:r>
      <w:r w:rsidRPr="00B071E8">
        <w:rPr>
          <w:rFonts w:ascii="Times New Roman" w:hAnsi="Times New Roman" w:cs="Times New Roman"/>
          <w:sz w:val="28"/>
          <w:szCs w:val="28"/>
        </w:rPr>
        <w:t>портируе</w:t>
      </w:r>
      <w:r>
        <w:rPr>
          <w:rFonts w:ascii="Times New Roman" w:hAnsi="Times New Roman" w:cs="Times New Roman"/>
          <w:sz w:val="28"/>
          <w:szCs w:val="28"/>
        </w:rPr>
        <w:t>мых товаров, и это, помимо фис</w:t>
      </w:r>
      <w:r w:rsidRPr="00B071E8">
        <w:rPr>
          <w:rFonts w:ascii="Times New Roman" w:hAnsi="Times New Roman" w:cs="Times New Roman"/>
          <w:sz w:val="28"/>
          <w:szCs w:val="28"/>
        </w:rPr>
        <w:t>кально</w:t>
      </w:r>
      <w:r>
        <w:rPr>
          <w:rFonts w:ascii="Times New Roman" w:hAnsi="Times New Roman" w:cs="Times New Roman"/>
          <w:sz w:val="28"/>
          <w:szCs w:val="28"/>
        </w:rPr>
        <w:t>й функции, выступает и для кон</w:t>
      </w:r>
      <w:r w:rsidRPr="00B071E8">
        <w:rPr>
          <w:rFonts w:ascii="Times New Roman" w:hAnsi="Times New Roman" w:cs="Times New Roman"/>
          <w:sz w:val="28"/>
          <w:szCs w:val="28"/>
        </w:rPr>
        <w:t>троля за репатриацией валютной выручки.</w:t>
      </w:r>
    </w:p>
    <w:p w14:paraId="3B808634"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 всегда корректно определять таможенную стоимость по цене сделке даже в случае, если декларант заявляет реальную цену сделки. На контрактную цену влияет множество факторов, обусловленных коммерческими отношениями, возникающими между продавцом и покупателем, спецификации рынка, условий продажи такого товара на других рынках. Вышеизложенные обстоятельства определяют отклонение контрактной цены текущей сделки от цены, сложившейся при нормальных условиях продажи данного товара. </w:t>
      </w:r>
    </w:p>
    <w:p w14:paraId="4CA95B0C"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на данный момент существует некоторое противоречие. Таможенная стоимость является отражением рыночной цены товара, базирующейся на основе усреднения затрат на производство и получения нормальной прибыли с учетом спроса и предложения. Определяется таможенная стоимость на основе конкретной цены контракта. Такая цена может серьезно отклоняться от мировой цены под влиянием ценовых особенностей данной сделки. Данное противоречие вызывает существенное усложнение контроля таможенной стоимости, как частный случай – дает возможность заинтересованным лицам предоставлять более благоприятные условия независимо от тарифной политики страны. Больше всего в этом заинтересованы экспортеры и их контрагенты при высоких тарифных барьерах, которые применяет страны с экономикой догоняющего типа и развивающимися странами для защиты своих отраслей от интенсивной конкуренции.</w:t>
      </w:r>
    </w:p>
    <w:p w14:paraId="1816B341"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Определение таможенной стоимости имеет особое значение, как и для нашей страны в частности, так и для других стран ЕАЭС и для Евразийского экономического союза в целом. Данный факт обусловлен следующими причинами:</w:t>
      </w:r>
    </w:p>
    <w:p w14:paraId="39E77A90"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экономика стран Союза имеет необходимость в реальной тарифной защите от избыточной конкуренции со стороны импорта по многим отраслям;</w:t>
      </w:r>
    </w:p>
    <w:p w14:paraId="0055B7C4"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единый таможенный тариф </w:t>
      </w:r>
      <w:r w:rsidRPr="003D2874">
        <w:rPr>
          <w:rFonts w:ascii="Times New Roman" w:hAnsi="Times New Roman" w:cs="Times New Roman"/>
          <w:sz w:val="28"/>
          <w:szCs w:val="28"/>
        </w:rPr>
        <w:t>Евразийского экономического союза</w:t>
      </w:r>
      <w:r>
        <w:rPr>
          <w:rFonts w:ascii="Times New Roman" w:hAnsi="Times New Roman" w:cs="Times New Roman"/>
          <w:sz w:val="28"/>
          <w:szCs w:val="28"/>
        </w:rPr>
        <w:t xml:space="preserve"> охватывает практически всю номенклатуру товаров;</w:t>
      </w:r>
    </w:p>
    <w:p w14:paraId="73777852"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в тарифе доминируют адвалорные ставки таможенных пошлин, исчисляемых на базе таможенной стоимости;</w:t>
      </w:r>
    </w:p>
    <w:p w14:paraId="494FE2BE"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таможенная стоимость является важной составляющей налоговой базы НДС, который взимается при ввозе на таможенную территорию Союза;</w:t>
      </w:r>
    </w:p>
    <w:p w14:paraId="18BA6C1E"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доля таможенных платежей в федеральном бюджете Российской Федерации устойчиво имеет высокий удельный вес (начиная с середины первого десятилетия двадцать первого века – в среднем более 40%; в 2021 году их доля составила 25,4%).</w:t>
      </w:r>
    </w:p>
    <w:p w14:paraId="42D26D40"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 как с 2012 года Россия – член ВТО происходит процесс снижения среднего уровня ставок таможенного тарифа, что приводит к ослаблению тарифной защиты национального рынка и влечет риски падения доходов бюджетной системы. При таких условиях на передний план выходит способность таможенных органов взимать таможенные сборы, таможенные пошлины, налоги, основываясь на не заниженной и корректно определенной таможенной стоимости.</w:t>
      </w:r>
    </w:p>
    <w:p w14:paraId="1DB60C7D" w14:textId="77777777" w:rsidR="005D224E"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Следует отметить следующий факт, что при импорте уплата таможенных пошлин увеличивает себестоимость ввозимых товаров, что может сказаться на понижении финансового результата хозяйственной деятельности зарубежной фирмы. Таким образом, чем выше будет представлена таможенная стоимость, тем меньше может оказаться эффект экспортной или импортной операции</w:t>
      </w:r>
      <w:r>
        <w:rPr>
          <w:rFonts w:ascii="Times New Roman" w:hAnsi="Times New Roman" w:cs="Times New Roman"/>
          <w:sz w:val="28"/>
          <w:szCs w:val="28"/>
        </w:rPr>
        <w:t>.</w:t>
      </w:r>
    </w:p>
    <w:p w14:paraId="6C09E1E3" w14:textId="6AAE1885" w:rsidR="005D224E" w:rsidRDefault="005D224E" w:rsidP="005D224E">
      <w:pPr>
        <w:spacing w:after="0" w:line="360" w:lineRule="auto"/>
        <w:ind w:firstLine="709"/>
        <w:jc w:val="both"/>
        <w:rPr>
          <w:rFonts w:ascii="Times New Roman" w:hAnsi="Times New Roman" w:cs="Times New Roman"/>
          <w:sz w:val="28"/>
          <w:szCs w:val="28"/>
        </w:rPr>
      </w:pPr>
      <w:r w:rsidRPr="00002106">
        <w:rPr>
          <w:rFonts w:ascii="Times New Roman" w:hAnsi="Times New Roman" w:cs="Times New Roman"/>
          <w:sz w:val="28"/>
          <w:szCs w:val="28"/>
        </w:rPr>
        <w:t>Таким образом, таможенная стоимость – понятие, используемое в целях таможенного регулирования по всему миру.</w:t>
      </w:r>
      <w:r w:rsidRPr="00002106">
        <w:rPr>
          <w:rFonts w:ascii="Times New Roman" w:hAnsi="Times New Roman" w:cs="Times New Roman"/>
          <w:color w:val="FF0000"/>
          <w:sz w:val="28"/>
          <w:szCs w:val="28"/>
        </w:rPr>
        <w:t xml:space="preserve"> </w:t>
      </w:r>
      <w:r>
        <w:rPr>
          <w:rFonts w:ascii="Times New Roman" w:hAnsi="Times New Roman" w:cs="Times New Roman"/>
          <w:sz w:val="28"/>
          <w:szCs w:val="28"/>
        </w:rPr>
        <w:t xml:space="preserve">Она играет важную роль в системе таможенно-тарифного регулирования. Ее корректное определение способствует </w:t>
      </w:r>
      <w:r w:rsidRPr="00E03247">
        <w:rPr>
          <w:rFonts w:ascii="Times New Roman" w:hAnsi="Times New Roman" w:cs="Times New Roman"/>
          <w:sz w:val="28"/>
          <w:szCs w:val="28"/>
        </w:rPr>
        <w:t>эффективному функционированию таких институтов таможенно-тарифного регулирования, как таможенные пошлины, а также таможенный тариф.</w:t>
      </w:r>
      <w:r>
        <w:rPr>
          <w:rFonts w:ascii="Times New Roman" w:hAnsi="Times New Roman" w:cs="Times New Roman"/>
          <w:sz w:val="28"/>
          <w:szCs w:val="28"/>
        </w:rPr>
        <w:t xml:space="preserve"> Таможенная стоимость является базой для исчисления таможенных пошлин и важной составляющей налоговой базы НДС, которые взимаются при ввозе и </w:t>
      </w:r>
      <w:r>
        <w:rPr>
          <w:rFonts w:ascii="Times New Roman" w:hAnsi="Times New Roman" w:cs="Times New Roman"/>
          <w:sz w:val="28"/>
          <w:szCs w:val="28"/>
        </w:rPr>
        <w:lastRenderedPageBreak/>
        <w:t>формируют доходную часть федерального бюджета.</w:t>
      </w:r>
      <w:r w:rsidRPr="00E03247">
        <w:rPr>
          <w:rFonts w:ascii="Times New Roman" w:hAnsi="Times New Roman" w:cs="Times New Roman"/>
          <w:sz w:val="28"/>
          <w:szCs w:val="28"/>
        </w:rPr>
        <w:t xml:space="preserve"> Все это способствует благоприятному развитию национальной экономики страны.</w:t>
      </w:r>
    </w:p>
    <w:p w14:paraId="0CCC8DCD" w14:textId="14C97C64" w:rsidR="007C2548" w:rsidRPr="007C2548" w:rsidRDefault="007C2548" w:rsidP="007C2548">
      <w:pPr>
        <w:spacing w:after="0" w:line="360" w:lineRule="auto"/>
        <w:ind w:firstLine="709"/>
        <w:jc w:val="both"/>
        <w:rPr>
          <w:rFonts w:ascii="Times New Roman" w:hAnsi="Times New Roman" w:cs="Times New Roman"/>
          <w:sz w:val="28"/>
          <w:szCs w:val="28"/>
        </w:rPr>
      </w:pPr>
      <w:r w:rsidRPr="007C2548">
        <w:rPr>
          <w:rFonts w:ascii="Times New Roman" w:hAnsi="Times New Roman" w:cs="Times New Roman"/>
          <w:sz w:val="28"/>
          <w:szCs w:val="28"/>
        </w:rPr>
        <w:t xml:space="preserve">Согласно </w:t>
      </w:r>
      <w:r>
        <w:rPr>
          <w:rFonts w:ascii="Times New Roman" w:hAnsi="Times New Roman" w:cs="Times New Roman"/>
          <w:sz w:val="28"/>
          <w:szCs w:val="28"/>
        </w:rPr>
        <w:t xml:space="preserve">ст. 39 ТК ЕАЭС </w:t>
      </w:r>
      <w:r w:rsidRPr="007C2548">
        <w:rPr>
          <w:rFonts w:ascii="Times New Roman" w:hAnsi="Times New Roman" w:cs="Times New Roman"/>
          <w:sz w:val="28"/>
          <w:szCs w:val="28"/>
        </w:rPr>
        <w:t xml:space="preserve">под таможенной стоимостью ввозимых на таможенную территорию товаров понимается стоимость сделки с ними, т.е. цена фактически уплаченная или подлежащая уплате за эти товары при их продаже для вывоза на таможенную территорию ЕАЭС и дополненная в соответствии, а именно в таможенную стоимость могут включать вознаграждения посредникам, расходы на упаковку, расходы на тару, расходы на перевозку и </w:t>
      </w:r>
      <w:proofErr w:type="spellStart"/>
      <w:r w:rsidRPr="007C2548">
        <w:rPr>
          <w:rFonts w:ascii="Times New Roman" w:hAnsi="Times New Roman" w:cs="Times New Roman"/>
          <w:sz w:val="28"/>
          <w:szCs w:val="28"/>
        </w:rPr>
        <w:t>т.д</w:t>
      </w:r>
      <w:proofErr w:type="spellEnd"/>
      <w:r>
        <w:rPr>
          <w:rStyle w:val="ad"/>
          <w:rFonts w:ascii="Times New Roman" w:hAnsi="Times New Roman" w:cs="Times New Roman"/>
          <w:sz w:val="28"/>
          <w:szCs w:val="28"/>
        </w:rPr>
        <w:footnoteReference w:id="1"/>
      </w:r>
      <w:r w:rsidRPr="007C2548">
        <w:rPr>
          <w:rFonts w:ascii="Times New Roman" w:hAnsi="Times New Roman" w:cs="Times New Roman"/>
          <w:sz w:val="28"/>
          <w:szCs w:val="28"/>
        </w:rPr>
        <w:t xml:space="preserve">. </w:t>
      </w:r>
    </w:p>
    <w:p w14:paraId="1E68ADCB" w14:textId="2640335D" w:rsidR="007C2548" w:rsidRPr="007C2548" w:rsidRDefault="007C2548" w:rsidP="007C2548">
      <w:pPr>
        <w:spacing w:after="0" w:line="360" w:lineRule="auto"/>
        <w:ind w:firstLine="709"/>
        <w:jc w:val="both"/>
        <w:rPr>
          <w:rFonts w:ascii="Times New Roman" w:hAnsi="Times New Roman" w:cs="Times New Roman"/>
          <w:sz w:val="28"/>
          <w:szCs w:val="28"/>
        </w:rPr>
      </w:pPr>
      <w:bookmarkStart w:id="3" w:name="_Hlk105656466"/>
      <w:r w:rsidRPr="007C2548">
        <w:rPr>
          <w:rFonts w:ascii="Times New Roman" w:hAnsi="Times New Roman" w:cs="Times New Roman"/>
          <w:sz w:val="28"/>
          <w:szCs w:val="28"/>
        </w:rPr>
        <w:t>Таможенная стоимость выполняет определенные функции (рис.</w:t>
      </w:r>
      <w:r w:rsidR="002C7F85">
        <w:rPr>
          <w:rFonts w:ascii="Times New Roman" w:hAnsi="Times New Roman" w:cs="Times New Roman"/>
          <w:sz w:val="28"/>
          <w:szCs w:val="28"/>
        </w:rPr>
        <w:t>1</w:t>
      </w:r>
      <w:r w:rsidRPr="007C2548">
        <w:rPr>
          <w:rFonts w:ascii="Times New Roman" w:hAnsi="Times New Roman" w:cs="Times New Roman"/>
          <w:sz w:val="28"/>
          <w:szCs w:val="28"/>
        </w:rPr>
        <w:t xml:space="preserve"> и является основой для исчисления:</w:t>
      </w:r>
    </w:p>
    <w:p w14:paraId="30E000B1" w14:textId="77777777" w:rsidR="007C2548" w:rsidRPr="007C2548" w:rsidRDefault="007C2548" w:rsidP="007C2548">
      <w:pPr>
        <w:spacing w:after="0" w:line="360" w:lineRule="auto"/>
        <w:ind w:firstLine="709"/>
        <w:jc w:val="both"/>
        <w:rPr>
          <w:rFonts w:ascii="Times New Roman" w:hAnsi="Times New Roman" w:cs="Times New Roman"/>
          <w:sz w:val="28"/>
          <w:szCs w:val="28"/>
        </w:rPr>
      </w:pPr>
      <w:r w:rsidRPr="007C2548">
        <w:rPr>
          <w:rFonts w:ascii="Times New Roman" w:hAnsi="Times New Roman" w:cs="Times New Roman"/>
          <w:sz w:val="28"/>
          <w:szCs w:val="28"/>
        </w:rPr>
        <w:t>- таможенной стоимости по адвалорной ставке;</w:t>
      </w:r>
    </w:p>
    <w:p w14:paraId="1C8745C4" w14:textId="77777777" w:rsidR="007C2548" w:rsidRPr="007C2548" w:rsidRDefault="007C2548" w:rsidP="007C2548">
      <w:pPr>
        <w:spacing w:after="0" w:line="360" w:lineRule="auto"/>
        <w:ind w:firstLine="709"/>
        <w:jc w:val="both"/>
        <w:rPr>
          <w:rFonts w:ascii="Times New Roman" w:hAnsi="Times New Roman" w:cs="Times New Roman"/>
          <w:sz w:val="28"/>
          <w:szCs w:val="28"/>
        </w:rPr>
      </w:pPr>
      <w:r w:rsidRPr="007C2548">
        <w:rPr>
          <w:rFonts w:ascii="Times New Roman" w:hAnsi="Times New Roman" w:cs="Times New Roman"/>
          <w:sz w:val="28"/>
          <w:szCs w:val="28"/>
        </w:rPr>
        <w:t>- налога на добавленную стоимость при ввозе товаров на таможенную территорию;</w:t>
      </w:r>
    </w:p>
    <w:p w14:paraId="0C8C4447" w14:textId="77777777" w:rsidR="007C2548" w:rsidRPr="007C2548" w:rsidRDefault="007C2548" w:rsidP="007C2548">
      <w:pPr>
        <w:spacing w:after="0" w:line="360" w:lineRule="auto"/>
        <w:ind w:firstLine="709"/>
        <w:jc w:val="both"/>
        <w:rPr>
          <w:rFonts w:ascii="Times New Roman" w:hAnsi="Times New Roman" w:cs="Times New Roman"/>
          <w:sz w:val="28"/>
          <w:szCs w:val="28"/>
        </w:rPr>
      </w:pPr>
      <w:r w:rsidRPr="007C2548">
        <w:rPr>
          <w:rFonts w:ascii="Times New Roman" w:hAnsi="Times New Roman" w:cs="Times New Roman"/>
          <w:sz w:val="28"/>
          <w:szCs w:val="28"/>
        </w:rPr>
        <w:t>- акцизов при ввозе товаров на таможенную территорию.</w:t>
      </w:r>
    </w:p>
    <w:p w14:paraId="7C24039F" w14:textId="77777777" w:rsidR="007C2548" w:rsidRPr="007C2548" w:rsidRDefault="007C2548" w:rsidP="007C2548">
      <w:pPr>
        <w:spacing w:after="0" w:line="360" w:lineRule="auto"/>
        <w:ind w:firstLine="709"/>
        <w:jc w:val="both"/>
        <w:rPr>
          <w:rFonts w:ascii="Times New Roman" w:hAnsi="Times New Roman" w:cs="Times New Roman"/>
          <w:sz w:val="28"/>
          <w:szCs w:val="28"/>
        </w:rPr>
      </w:pPr>
    </w:p>
    <w:bookmarkEnd w:id="3"/>
    <w:p w14:paraId="0CABF4EF" w14:textId="77777777" w:rsidR="007C2548" w:rsidRPr="007C2548" w:rsidRDefault="007C2548" w:rsidP="007C2548">
      <w:pPr>
        <w:spacing w:after="0" w:line="360" w:lineRule="auto"/>
        <w:ind w:firstLine="709"/>
        <w:jc w:val="both"/>
        <w:rPr>
          <w:rFonts w:ascii="Times New Roman" w:hAnsi="Times New Roman" w:cs="Times New Roman"/>
          <w:sz w:val="28"/>
          <w:szCs w:val="28"/>
        </w:rPr>
      </w:pPr>
      <w:r w:rsidRPr="007C2548">
        <w:rPr>
          <w:rFonts w:ascii="Times New Roman" w:hAnsi="Times New Roman" w:cs="Times New Roman"/>
          <w:noProof/>
          <w:sz w:val="28"/>
          <w:szCs w:val="28"/>
        </w:rPr>
        <w:drawing>
          <wp:inline distT="0" distB="0" distL="0" distR="0" wp14:anchorId="5C94D02B" wp14:editId="051B1C38">
            <wp:extent cx="5486400" cy="3276600"/>
            <wp:effectExtent l="0" t="0" r="0" b="19050"/>
            <wp:docPr id="40" name="Схема 40"/>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8" r:lo="rId9" r:qs="rId10" r:cs="rId11"/>
              </a:graphicData>
            </a:graphic>
          </wp:inline>
        </w:drawing>
      </w:r>
    </w:p>
    <w:p w14:paraId="3BE02634" w14:textId="2A59BBE6" w:rsidR="007C2548" w:rsidRPr="007C2548" w:rsidRDefault="007C2548" w:rsidP="007C2548">
      <w:pPr>
        <w:spacing w:after="0" w:line="360" w:lineRule="auto"/>
        <w:ind w:firstLine="709"/>
        <w:jc w:val="both"/>
        <w:rPr>
          <w:rFonts w:ascii="Times New Roman" w:hAnsi="Times New Roman" w:cs="Times New Roman"/>
          <w:sz w:val="28"/>
          <w:szCs w:val="28"/>
        </w:rPr>
      </w:pPr>
      <w:r w:rsidRPr="007C2548">
        <w:rPr>
          <w:rFonts w:ascii="Times New Roman" w:hAnsi="Times New Roman" w:cs="Times New Roman"/>
          <w:sz w:val="28"/>
          <w:szCs w:val="28"/>
        </w:rPr>
        <w:t xml:space="preserve">Рис. </w:t>
      </w:r>
      <w:r w:rsidR="002C7F85">
        <w:rPr>
          <w:rFonts w:ascii="Times New Roman" w:hAnsi="Times New Roman" w:cs="Times New Roman"/>
          <w:sz w:val="28"/>
          <w:szCs w:val="28"/>
        </w:rPr>
        <w:t>1</w:t>
      </w:r>
      <w:r w:rsidRPr="007C2548">
        <w:rPr>
          <w:rFonts w:ascii="Times New Roman" w:hAnsi="Times New Roman" w:cs="Times New Roman"/>
          <w:sz w:val="28"/>
          <w:szCs w:val="28"/>
        </w:rPr>
        <w:t>. Функции таможенной стоимости</w:t>
      </w:r>
    </w:p>
    <w:p w14:paraId="59547564" w14:textId="77777777" w:rsidR="007C2548" w:rsidRPr="007C2548" w:rsidRDefault="007C2548" w:rsidP="007C2548">
      <w:pPr>
        <w:spacing w:after="0" w:line="360" w:lineRule="auto"/>
        <w:ind w:firstLine="709"/>
        <w:jc w:val="both"/>
        <w:rPr>
          <w:rFonts w:ascii="Times New Roman" w:hAnsi="Times New Roman" w:cs="Times New Roman"/>
          <w:sz w:val="28"/>
          <w:szCs w:val="28"/>
        </w:rPr>
      </w:pPr>
      <w:r w:rsidRPr="007C2548">
        <w:rPr>
          <w:rFonts w:ascii="Times New Roman" w:hAnsi="Times New Roman" w:cs="Times New Roman"/>
          <w:sz w:val="28"/>
          <w:szCs w:val="28"/>
        </w:rPr>
        <w:lastRenderedPageBreak/>
        <w:t>Также таможенная стоимость используется для выбора ставки таможенных сборов за таможенные операции. Применения таможенной стоимости для исчисления антидемпинговых, специальных, компенсационных пошлин является одной из основополагающих ее функций.</w:t>
      </w:r>
    </w:p>
    <w:p w14:paraId="1828676E" w14:textId="10E149AE" w:rsidR="007C2548" w:rsidRPr="007C2548" w:rsidRDefault="007C2548" w:rsidP="007C2548">
      <w:pPr>
        <w:spacing w:after="0" w:line="360" w:lineRule="auto"/>
        <w:ind w:firstLine="709"/>
        <w:jc w:val="both"/>
        <w:rPr>
          <w:rFonts w:ascii="Times New Roman" w:hAnsi="Times New Roman" w:cs="Times New Roman"/>
          <w:sz w:val="28"/>
          <w:szCs w:val="28"/>
        </w:rPr>
      </w:pPr>
      <w:r w:rsidRPr="007C2548">
        <w:rPr>
          <w:rFonts w:ascii="Times New Roman" w:hAnsi="Times New Roman" w:cs="Times New Roman"/>
          <w:sz w:val="28"/>
          <w:szCs w:val="28"/>
        </w:rPr>
        <w:t xml:space="preserve">Таможенная стоимость ввозимых на таможенную территорию </w:t>
      </w:r>
      <w:r w:rsidR="002C7F85">
        <w:rPr>
          <w:rFonts w:ascii="Times New Roman" w:hAnsi="Times New Roman" w:cs="Times New Roman"/>
          <w:sz w:val="28"/>
          <w:szCs w:val="28"/>
        </w:rPr>
        <w:t xml:space="preserve">Евразийского экономического союза (далее – ЕАЭС, </w:t>
      </w:r>
      <w:r w:rsidR="00EA2A5B">
        <w:rPr>
          <w:rFonts w:ascii="Times New Roman" w:hAnsi="Times New Roman" w:cs="Times New Roman"/>
          <w:sz w:val="28"/>
          <w:szCs w:val="28"/>
        </w:rPr>
        <w:t xml:space="preserve">Союз) </w:t>
      </w:r>
      <w:r w:rsidR="00EA2A5B" w:rsidRPr="007C2548">
        <w:rPr>
          <w:rFonts w:ascii="Times New Roman" w:hAnsi="Times New Roman" w:cs="Times New Roman"/>
          <w:sz w:val="28"/>
          <w:szCs w:val="28"/>
        </w:rPr>
        <w:t>товаров</w:t>
      </w:r>
      <w:r w:rsidRPr="007C2548">
        <w:rPr>
          <w:rFonts w:ascii="Times New Roman" w:hAnsi="Times New Roman" w:cs="Times New Roman"/>
          <w:sz w:val="28"/>
          <w:szCs w:val="28"/>
        </w:rPr>
        <w:t xml:space="preserve"> регламентируется</w:t>
      </w:r>
      <w:r w:rsidR="002C7F85" w:rsidRPr="002C7F85">
        <w:t xml:space="preserve"> </w:t>
      </w:r>
      <w:r w:rsidR="002C7F85" w:rsidRPr="002C7F85">
        <w:rPr>
          <w:rFonts w:ascii="Times New Roman" w:hAnsi="Times New Roman" w:cs="Times New Roman"/>
          <w:sz w:val="28"/>
          <w:szCs w:val="28"/>
        </w:rPr>
        <w:t>Таможенны</w:t>
      </w:r>
      <w:r w:rsidR="002C7F85">
        <w:rPr>
          <w:rFonts w:ascii="Times New Roman" w:hAnsi="Times New Roman" w:cs="Times New Roman"/>
          <w:sz w:val="28"/>
          <w:szCs w:val="28"/>
        </w:rPr>
        <w:t>м</w:t>
      </w:r>
      <w:r w:rsidR="002C7F85" w:rsidRPr="002C7F85">
        <w:rPr>
          <w:rFonts w:ascii="Times New Roman" w:hAnsi="Times New Roman" w:cs="Times New Roman"/>
          <w:sz w:val="28"/>
          <w:szCs w:val="28"/>
        </w:rPr>
        <w:t xml:space="preserve"> кодекс</w:t>
      </w:r>
      <w:r w:rsidR="002C7F85">
        <w:rPr>
          <w:rFonts w:ascii="Times New Roman" w:hAnsi="Times New Roman" w:cs="Times New Roman"/>
          <w:sz w:val="28"/>
          <w:szCs w:val="28"/>
        </w:rPr>
        <w:t>ом</w:t>
      </w:r>
      <w:r w:rsidR="002C7F85" w:rsidRPr="002C7F85">
        <w:rPr>
          <w:rFonts w:ascii="Times New Roman" w:hAnsi="Times New Roman" w:cs="Times New Roman"/>
          <w:sz w:val="28"/>
          <w:szCs w:val="28"/>
        </w:rPr>
        <w:t xml:space="preserve"> Евразийского экономического союза</w:t>
      </w:r>
      <w:r w:rsidR="002C7F85">
        <w:rPr>
          <w:rFonts w:ascii="Times New Roman" w:hAnsi="Times New Roman" w:cs="Times New Roman"/>
          <w:sz w:val="28"/>
          <w:szCs w:val="28"/>
        </w:rPr>
        <w:t xml:space="preserve"> (далее ТК ЕАЭС</w:t>
      </w:r>
      <w:r w:rsidR="00EA2A5B">
        <w:rPr>
          <w:rFonts w:ascii="Times New Roman" w:hAnsi="Times New Roman" w:cs="Times New Roman"/>
          <w:sz w:val="28"/>
          <w:szCs w:val="28"/>
        </w:rPr>
        <w:t>),</w:t>
      </w:r>
      <w:r w:rsidRPr="007C2548">
        <w:rPr>
          <w:rFonts w:ascii="Times New Roman" w:hAnsi="Times New Roman" w:cs="Times New Roman"/>
          <w:sz w:val="28"/>
          <w:szCs w:val="28"/>
        </w:rPr>
        <w:t xml:space="preserve"> а вывозимых с территории </w:t>
      </w:r>
      <w:r w:rsidR="000D38B2">
        <w:rPr>
          <w:rFonts w:ascii="Times New Roman" w:hAnsi="Times New Roman" w:cs="Times New Roman"/>
          <w:sz w:val="28"/>
          <w:szCs w:val="28"/>
        </w:rPr>
        <w:t xml:space="preserve">Российской </w:t>
      </w:r>
      <w:r w:rsidR="00C8705A">
        <w:rPr>
          <w:rFonts w:ascii="Times New Roman" w:hAnsi="Times New Roman" w:cs="Times New Roman"/>
          <w:sz w:val="28"/>
          <w:szCs w:val="28"/>
        </w:rPr>
        <w:t xml:space="preserve">Федерации </w:t>
      </w:r>
      <w:r w:rsidR="00C8705A" w:rsidRPr="007C2548">
        <w:rPr>
          <w:rFonts w:ascii="Times New Roman" w:hAnsi="Times New Roman" w:cs="Times New Roman"/>
          <w:sz w:val="28"/>
          <w:szCs w:val="28"/>
        </w:rPr>
        <w:t>товаров</w:t>
      </w:r>
      <w:r w:rsidRPr="007C2548">
        <w:rPr>
          <w:rFonts w:ascii="Times New Roman" w:hAnsi="Times New Roman" w:cs="Times New Roman"/>
          <w:sz w:val="28"/>
          <w:szCs w:val="28"/>
        </w:rPr>
        <w:t xml:space="preserve"> регламентируется </w:t>
      </w:r>
      <w:r w:rsidR="000D38B2" w:rsidRPr="000D38B2">
        <w:rPr>
          <w:rFonts w:ascii="Times New Roman" w:hAnsi="Times New Roman" w:cs="Times New Roman"/>
          <w:sz w:val="28"/>
          <w:szCs w:val="28"/>
        </w:rPr>
        <w:t>Постановление</w:t>
      </w:r>
      <w:r w:rsidR="000D38B2">
        <w:rPr>
          <w:rFonts w:ascii="Times New Roman" w:hAnsi="Times New Roman" w:cs="Times New Roman"/>
          <w:sz w:val="28"/>
          <w:szCs w:val="28"/>
        </w:rPr>
        <w:t>м</w:t>
      </w:r>
      <w:r w:rsidR="000D38B2" w:rsidRPr="000D38B2">
        <w:rPr>
          <w:rFonts w:ascii="Times New Roman" w:hAnsi="Times New Roman" w:cs="Times New Roman"/>
          <w:sz w:val="28"/>
          <w:szCs w:val="28"/>
        </w:rPr>
        <w:t xml:space="preserve"> Правительства РФ от 16.12.2019 № 1694</w:t>
      </w:r>
      <w:r w:rsidR="002C7F85">
        <w:rPr>
          <w:rStyle w:val="ad"/>
          <w:rFonts w:ascii="Times New Roman" w:hAnsi="Times New Roman" w:cs="Times New Roman"/>
          <w:sz w:val="28"/>
          <w:szCs w:val="28"/>
        </w:rPr>
        <w:footnoteReference w:id="2"/>
      </w:r>
      <w:r w:rsidRPr="007C2548">
        <w:rPr>
          <w:rFonts w:ascii="Times New Roman" w:hAnsi="Times New Roman" w:cs="Times New Roman"/>
          <w:sz w:val="28"/>
          <w:szCs w:val="28"/>
        </w:rPr>
        <w:t>.</w:t>
      </w:r>
    </w:p>
    <w:p w14:paraId="6114A23A" w14:textId="445928D3" w:rsidR="007C2548" w:rsidRDefault="007C2548" w:rsidP="007C2548">
      <w:pPr>
        <w:spacing w:after="0" w:line="360" w:lineRule="auto"/>
        <w:ind w:firstLine="709"/>
        <w:jc w:val="both"/>
        <w:rPr>
          <w:rFonts w:ascii="Times New Roman" w:hAnsi="Times New Roman" w:cs="Times New Roman"/>
          <w:sz w:val="28"/>
          <w:szCs w:val="28"/>
        </w:rPr>
      </w:pPr>
      <w:bookmarkStart w:id="4" w:name="_Hlk105656493"/>
      <w:r w:rsidRPr="007C2548">
        <w:rPr>
          <w:rFonts w:ascii="Times New Roman" w:hAnsi="Times New Roman" w:cs="Times New Roman"/>
          <w:sz w:val="28"/>
          <w:szCs w:val="28"/>
        </w:rPr>
        <w:t xml:space="preserve">При заявлении таможенной стоимости в декларацию на товары, а также в декларацию таможенной стоимости необходимо правильно ее определить. Определение таможенной стоимости происходит с помощью методов определения таможенной стоимости (рис. </w:t>
      </w:r>
      <w:r w:rsidR="000D38B2">
        <w:rPr>
          <w:rFonts w:ascii="Times New Roman" w:hAnsi="Times New Roman" w:cs="Times New Roman"/>
          <w:sz w:val="28"/>
          <w:szCs w:val="28"/>
        </w:rPr>
        <w:t>2</w:t>
      </w:r>
      <w:r w:rsidRPr="007C2548">
        <w:rPr>
          <w:rFonts w:ascii="Times New Roman" w:hAnsi="Times New Roman" w:cs="Times New Roman"/>
          <w:sz w:val="28"/>
          <w:szCs w:val="28"/>
        </w:rPr>
        <w:t>.).</w:t>
      </w:r>
    </w:p>
    <w:p w14:paraId="2B800763" w14:textId="1B81C15D" w:rsidR="00B8402C" w:rsidRPr="007C2548" w:rsidRDefault="00B8402C" w:rsidP="007C2548">
      <w:pPr>
        <w:spacing w:after="0" w:line="360" w:lineRule="auto"/>
        <w:ind w:firstLine="709"/>
        <w:jc w:val="both"/>
        <w:rPr>
          <w:rFonts w:ascii="Times New Roman" w:hAnsi="Times New Roman" w:cs="Times New Roman"/>
          <w:sz w:val="28"/>
          <w:szCs w:val="28"/>
        </w:rPr>
      </w:pPr>
      <w:r w:rsidRPr="00B8402C">
        <w:rPr>
          <w:rFonts w:ascii="Times New Roman" w:hAnsi="Times New Roman" w:cs="Times New Roman"/>
          <w:sz w:val="28"/>
          <w:szCs w:val="28"/>
        </w:rPr>
        <w:t>Существует шесть методов определения таможенной стоимости. Методы, используемые на территории Евразийского экономического союза, основываются на общепризнанных методах, которые прописаны в Соглашении по применению статьи VII Генерального соглашения по тарифам и торговле 1994 года</w:t>
      </w:r>
      <w:r>
        <w:rPr>
          <w:rStyle w:val="ad"/>
          <w:rFonts w:ascii="Times New Roman" w:hAnsi="Times New Roman" w:cs="Times New Roman"/>
          <w:sz w:val="28"/>
          <w:szCs w:val="28"/>
        </w:rPr>
        <w:footnoteReference w:id="3"/>
      </w:r>
      <w:r w:rsidRPr="00B8402C">
        <w:rPr>
          <w:rFonts w:ascii="Times New Roman" w:hAnsi="Times New Roman" w:cs="Times New Roman"/>
          <w:sz w:val="28"/>
          <w:szCs w:val="28"/>
        </w:rPr>
        <w:t>.</w:t>
      </w:r>
    </w:p>
    <w:bookmarkEnd w:id="4"/>
    <w:p w14:paraId="7B318370" w14:textId="77777777" w:rsidR="007C2548" w:rsidRPr="007C2548" w:rsidRDefault="007C2548" w:rsidP="007C2548">
      <w:pPr>
        <w:spacing w:after="0" w:line="360" w:lineRule="auto"/>
        <w:ind w:firstLine="709"/>
        <w:jc w:val="both"/>
        <w:rPr>
          <w:rFonts w:ascii="Times New Roman" w:hAnsi="Times New Roman" w:cs="Times New Roman"/>
          <w:sz w:val="28"/>
          <w:szCs w:val="28"/>
        </w:rPr>
      </w:pPr>
      <w:r w:rsidRPr="007C2548">
        <w:rPr>
          <w:rFonts w:ascii="Times New Roman" w:hAnsi="Times New Roman" w:cs="Times New Roman"/>
          <w:noProof/>
          <w:sz w:val="28"/>
          <w:szCs w:val="28"/>
        </w:rPr>
        <w:lastRenderedPageBreak/>
        <w:drawing>
          <wp:inline distT="0" distB="0" distL="0" distR="0" wp14:anchorId="0C7651DF" wp14:editId="322F887E">
            <wp:extent cx="5977890" cy="4729655"/>
            <wp:effectExtent l="0" t="0" r="41910" b="13970"/>
            <wp:docPr id="41" name="Схема 4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3" r:lo="rId14" r:qs="rId15" r:cs="rId16"/>
              </a:graphicData>
            </a:graphic>
          </wp:inline>
        </w:drawing>
      </w:r>
    </w:p>
    <w:p w14:paraId="358C54F4" w14:textId="3086F274" w:rsidR="007C2548" w:rsidRPr="007C2548" w:rsidRDefault="007C2548" w:rsidP="007C2548">
      <w:pPr>
        <w:spacing w:after="0" w:line="360" w:lineRule="auto"/>
        <w:ind w:firstLine="709"/>
        <w:jc w:val="both"/>
        <w:rPr>
          <w:rFonts w:ascii="Times New Roman" w:hAnsi="Times New Roman" w:cs="Times New Roman"/>
          <w:sz w:val="28"/>
          <w:szCs w:val="28"/>
        </w:rPr>
      </w:pPr>
      <w:r w:rsidRPr="007C2548">
        <w:rPr>
          <w:rFonts w:ascii="Times New Roman" w:hAnsi="Times New Roman" w:cs="Times New Roman"/>
          <w:sz w:val="28"/>
          <w:szCs w:val="28"/>
        </w:rPr>
        <w:t xml:space="preserve">Рис. </w:t>
      </w:r>
      <w:r w:rsidR="000D38B2">
        <w:rPr>
          <w:rFonts w:ascii="Times New Roman" w:hAnsi="Times New Roman" w:cs="Times New Roman"/>
          <w:sz w:val="28"/>
          <w:szCs w:val="28"/>
        </w:rPr>
        <w:t>2</w:t>
      </w:r>
      <w:r w:rsidRPr="007C2548">
        <w:rPr>
          <w:rFonts w:ascii="Times New Roman" w:hAnsi="Times New Roman" w:cs="Times New Roman"/>
          <w:sz w:val="28"/>
          <w:szCs w:val="28"/>
        </w:rPr>
        <w:t xml:space="preserve">. Методы определения таможенной стоимости ввозимых на таможенную территорию </w:t>
      </w:r>
      <w:r w:rsidR="00EA2A5B">
        <w:rPr>
          <w:rFonts w:ascii="Times New Roman" w:hAnsi="Times New Roman" w:cs="Times New Roman"/>
          <w:sz w:val="28"/>
          <w:szCs w:val="28"/>
        </w:rPr>
        <w:t>ЕАЭС</w:t>
      </w:r>
      <w:r w:rsidRPr="007C2548">
        <w:rPr>
          <w:rFonts w:ascii="Times New Roman" w:hAnsi="Times New Roman" w:cs="Times New Roman"/>
          <w:sz w:val="28"/>
          <w:szCs w:val="28"/>
        </w:rPr>
        <w:t xml:space="preserve"> товаров и вывозимых с территории РФ товаров</w:t>
      </w:r>
    </w:p>
    <w:p w14:paraId="1CD34F1C" w14:textId="77777777" w:rsidR="00917BE4"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В Таможенном кодексе ЕАЭС все методы зак</w:t>
      </w:r>
      <w:r>
        <w:rPr>
          <w:rFonts w:ascii="Times New Roman" w:hAnsi="Times New Roman" w:cs="Times New Roman"/>
          <w:sz w:val="28"/>
          <w:szCs w:val="28"/>
        </w:rPr>
        <w:t>реплены в 5 главе, статьях 39, 41-45</w:t>
      </w:r>
      <w:r w:rsidR="00E94AB1">
        <w:rPr>
          <w:rStyle w:val="ad"/>
          <w:rFonts w:ascii="Times New Roman" w:hAnsi="Times New Roman" w:cs="Times New Roman"/>
          <w:sz w:val="28"/>
          <w:szCs w:val="28"/>
        </w:rPr>
        <w:footnoteReference w:id="4"/>
      </w:r>
      <w:r w:rsidRPr="00E03247">
        <w:rPr>
          <w:rFonts w:ascii="Times New Roman" w:hAnsi="Times New Roman" w:cs="Times New Roman"/>
          <w:sz w:val="28"/>
          <w:szCs w:val="28"/>
        </w:rPr>
        <w:t xml:space="preserve">. </w:t>
      </w:r>
    </w:p>
    <w:p w14:paraId="080782B5" w14:textId="25878685" w:rsidR="00092215" w:rsidRPr="007C2548" w:rsidRDefault="005D224E" w:rsidP="00092215">
      <w:pPr>
        <w:spacing w:after="0" w:line="360" w:lineRule="auto"/>
        <w:ind w:firstLine="709"/>
        <w:jc w:val="both"/>
        <w:rPr>
          <w:rFonts w:ascii="Times New Roman" w:hAnsi="Times New Roman" w:cs="Times New Roman"/>
          <w:color w:val="000000"/>
          <w:sz w:val="28"/>
          <w:szCs w:val="28"/>
        </w:rPr>
      </w:pPr>
      <w:r w:rsidRPr="00E03247">
        <w:rPr>
          <w:rFonts w:ascii="Times New Roman" w:hAnsi="Times New Roman" w:cs="Times New Roman"/>
          <w:sz w:val="28"/>
          <w:szCs w:val="28"/>
        </w:rPr>
        <w:t>Главн</w:t>
      </w:r>
      <w:r w:rsidR="00917BE4">
        <w:rPr>
          <w:rFonts w:ascii="Times New Roman" w:hAnsi="Times New Roman" w:cs="Times New Roman"/>
          <w:sz w:val="28"/>
          <w:szCs w:val="28"/>
        </w:rPr>
        <w:t>ым</w:t>
      </w:r>
      <w:r w:rsidRPr="00E03247">
        <w:rPr>
          <w:rFonts w:ascii="Times New Roman" w:hAnsi="Times New Roman" w:cs="Times New Roman"/>
          <w:sz w:val="28"/>
          <w:szCs w:val="28"/>
        </w:rPr>
        <w:t xml:space="preserve"> правило</w:t>
      </w:r>
      <w:r w:rsidR="00917BE4">
        <w:rPr>
          <w:rFonts w:ascii="Times New Roman" w:hAnsi="Times New Roman" w:cs="Times New Roman"/>
          <w:sz w:val="28"/>
          <w:szCs w:val="28"/>
        </w:rPr>
        <w:t>м</w:t>
      </w:r>
      <w:r w:rsidRPr="00E03247">
        <w:rPr>
          <w:rFonts w:ascii="Times New Roman" w:hAnsi="Times New Roman" w:cs="Times New Roman"/>
          <w:sz w:val="28"/>
          <w:szCs w:val="28"/>
        </w:rPr>
        <w:t xml:space="preserve"> при определении таможенной стоимости</w:t>
      </w:r>
      <w:r w:rsidR="00917BE4">
        <w:rPr>
          <w:rFonts w:ascii="Times New Roman" w:hAnsi="Times New Roman" w:cs="Times New Roman"/>
          <w:sz w:val="28"/>
          <w:szCs w:val="28"/>
        </w:rPr>
        <w:t xml:space="preserve"> к</w:t>
      </w:r>
      <w:r w:rsidR="00092215" w:rsidRPr="007C2548">
        <w:rPr>
          <w:rFonts w:ascii="Times New Roman" w:hAnsi="Times New Roman" w:cs="Times New Roman"/>
          <w:color w:val="000000"/>
          <w:sz w:val="28"/>
          <w:szCs w:val="28"/>
        </w:rPr>
        <w:t xml:space="preserve">ак для ввозимых на таможенную территорию товаров, так и для вывозимых, </w:t>
      </w:r>
      <w:r w:rsidR="006C0465">
        <w:rPr>
          <w:rFonts w:ascii="Times New Roman" w:hAnsi="Times New Roman" w:cs="Times New Roman"/>
          <w:color w:val="000000"/>
          <w:sz w:val="28"/>
          <w:szCs w:val="28"/>
        </w:rPr>
        <w:t xml:space="preserve">является то, что </w:t>
      </w:r>
      <w:r w:rsidR="00092215" w:rsidRPr="007C2548">
        <w:rPr>
          <w:rFonts w:ascii="Times New Roman" w:hAnsi="Times New Roman" w:cs="Times New Roman"/>
          <w:color w:val="000000"/>
          <w:sz w:val="28"/>
          <w:szCs w:val="28"/>
        </w:rPr>
        <w:t>методы определения таможенной стоимости используются по принципу эскалации, т.е. последовательно, если применение метода 1 невозможно по условиям применения данного метода, то переходим к следующему и так далее.</w:t>
      </w:r>
    </w:p>
    <w:p w14:paraId="24EB7807" w14:textId="3F12EC52" w:rsidR="00092215" w:rsidRPr="007C2548" w:rsidRDefault="00092215" w:rsidP="00092215">
      <w:pPr>
        <w:spacing w:after="0" w:line="360" w:lineRule="auto"/>
        <w:ind w:firstLine="709"/>
        <w:jc w:val="both"/>
        <w:rPr>
          <w:rFonts w:ascii="Times New Roman" w:hAnsi="Times New Roman" w:cs="Times New Roman"/>
          <w:color w:val="000000"/>
          <w:sz w:val="28"/>
          <w:szCs w:val="28"/>
        </w:rPr>
      </w:pPr>
      <w:r w:rsidRPr="00092215">
        <w:rPr>
          <w:rFonts w:ascii="Times New Roman" w:hAnsi="Times New Roman" w:cs="Times New Roman"/>
          <w:color w:val="000000"/>
          <w:sz w:val="28"/>
          <w:szCs w:val="28"/>
        </w:rPr>
        <w:t xml:space="preserve">То есть перейти ко второму методу можно только в том случае, если есть обоснования для невозможности применения первого метода и так далее. Однако </w:t>
      </w:r>
      <w:r w:rsidRPr="00092215">
        <w:rPr>
          <w:rFonts w:ascii="Times New Roman" w:hAnsi="Times New Roman" w:cs="Times New Roman"/>
          <w:color w:val="000000"/>
          <w:sz w:val="28"/>
          <w:szCs w:val="28"/>
        </w:rPr>
        <w:lastRenderedPageBreak/>
        <w:t>есть особенность, связанная с применением четвертого и пятого метода. В связи с тем, что каждый из них достаточно сложный, допускается их применение в любой последовательности, то есть сначала можно применить пятый, затем четвертый метод. Шестой метод повторяет принципы предыдущих, однако допускает гибкость при их применении. Рассмотрим наиболее подробно каждый метод.</w:t>
      </w:r>
    </w:p>
    <w:p w14:paraId="5241EDD4" w14:textId="77777777" w:rsidR="005D224E" w:rsidRPr="00E03247"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Первый – </w:t>
      </w:r>
      <w:r>
        <w:rPr>
          <w:rFonts w:ascii="Times New Roman" w:hAnsi="Times New Roman" w:cs="Times New Roman"/>
          <w:sz w:val="28"/>
          <w:szCs w:val="28"/>
          <w:bdr w:val="none" w:sz="0" w:space="0" w:color="auto" w:frame="1"/>
        </w:rPr>
        <w:t>метод</w:t>
      </w:r>
      <w:r w:rsidRPr="00A11F83">
        <w:rPr>
          <w:rFonts w:ascii="Times New Roman" w:hAnsi="Times New Roman" w:cs="Times New Roman"/>
          <w:sz w:val="28"/>
          <w:szCs w:val="28"/>
          <w:bdr w:val="none" w:sz="0" w:space="0" w:color="auto" w:frame="1"/>
        </w:rPr>
        <w:t xml:space="preserve"> определени</w:t>
      </w:r>
      <w:r>
        <w:rPr>
          <w:rFonts w:ascii="Times New Roman" w:hAnsi="Times New Roman" w:cs="Times New Roman"/>
          <w:sz w:val="28"/>
          <w:szCs w:val="28"/>
          <w:bdr w:val="none" w:sz="0" w:space="0" w:color="auto" w:frame="1"/>
        </w:rPr>
        <w:t>я таможенной стоимости товаров по</w:t>
      </w:r>
      <w:r w:rsidRPr="00A11F83">
        <w:rPr>
          <w:rFonts w:ascii="Times New Roman" w:hAnsi="Times New Roman" w:cs="Times New Roman"/>
          <w:sz w:val="28"/>
          <w:szCs w:val="28"/>
          <w:bdr w:val="none" w:sz="0" w:space="0" w:color="auto" w:frame="1"/>
        </w:rPr>
        <w:t xml:space="preserve"> стоимости сделки</w:t>
      </w:r>
      <w:r>
        <w:rPr>
          <w:rFonts w:ascii="Times New Roman" w:hAnsi="Times New Roman" w:cs="Times New Roman"/>
          <w:sz w:val="28"/>
          <w:szCs w:val="28"/>
          <w:bdr w:val="none" w:sz="0" w:space="0" w:color="auto" w:frame="1"/>
        </w:rPr>
        <w:t xml:space="preserve"> с ввозимыми товарами (метод 1). </w:t>
      </w:r>
      <w:r w:rsidRPr="00E03247">
        <w:rPr>
          <w:rFonts w:ascii="Times New Roman" w:hAnsi="Times New Roman" w:cs="Times New Roman"/>
          <w:sz w:val="28"/>
          <w:szCs w:val="28"/>
        </w:rPr>
        <w:t>Данный метод является основным и используется чаще, чем остальные.</w:t>
      </w:r>
      <w:r w:rsidRPr="00E03247">
        <w:rPr>
          <w:rFonts w:ascii="Times New Roman" w:hAnsi="Times New Roman" w:cs="Times New Roman"/>
          <w:color w:val="000000"/>
          <w:sz w:val="28"/>
          <w:szCs w:val="28"/>
        </w:rPr>
        <w:t xml:space="preserve"> Примерно в 85-95% случаев таможенная стоимость товаров определяется по методу 1. </w:t>
      </w:r>
    </w:p>
    <w:p w14:paraId="2EB445EF" w14:textId="758D6D35" w:rsidR="006C0465" w:rsidRDefault="005D224E" w:rsidP="005D224E">
      <w:pPr>
        <w:spacing w:after="0" w:line="360" w:lineRule="auto"/>
        <w:ind w:firstLine="709"/>
        <w:jc w:val="both"/>
        <w:rPr>
          <w:rFonts w:ascii="Times New Roman" w:hAnsi="Times New Roman" w:cs="Times New Roman"/>
          <w:color w:val="000000"/>
          <w:sz w:val="28"/>
          <w:szCs w:val="28"/>
        </w:rPr>
      </w:pPr>
      <w:r w:rsidRPr="00E03247">
        <w:rPr>
          <w:rFonts w:ascii="Times New Roman" w:hAnsi="Times New Roman" w:cs="Times New Roman"/>
          <w:color w:val="000000"/>
          <w:sz w:val="28"/>
          <w:szCs w:val="28"/>
        </w:rPr>
        <w:t>Исходя из положений первого метода</w:t>
      </w:r>
      <w:r>
        <w:rPr>
          <w:rFonts w:ascii="Times New Roman" w:hAnsi="Times New Roman" w:cs="Times New Roman"/>
          <w:color w:val="000000"/>
          <w:sz w:val="28"/>
          <w:szCs w:val="28"/>
        </w:rPr>
        <w:t>,</w:t>
      </w:r>
      <w:r w:rsidRPr="00E03247">
        <w:rPr>
          <w:rFonts w:ascii="Times New Roman" w:hAnsi="Times New Roman" w:cs="Times New Roman"/>
          <w:color w:val="000000"/>
          <w:sz w:val="28"/>
          <w:szCs w:val="28"/>
        </w:rPr>
        <w:t xml:space="preserve"> таможенной стоимостью ввозимых товаров считается стоимость сделки с ними. Под этой стоимостью понимается цена, которая фактически уплачена или подлежит уплате для того, чтобы ввезти данные товары на таможенную территорию Союза. К этой сумме добавляются дополнительные начисления</w:t>
      </w:r>
      <w:r w:rsidR="006C0465">
        <w:rPr>
          <w:rFonts w:ascii="Times New Roman" w:hAnsi="Times New Roman" w:cs="Times New Roman"/>
          <w:color w:val="000000"/>
          <w:sz w:val="28"/>
          <w:szCs w:val="28"/>
        </w:rPr>
        <w:t xml:space="preserve"> (рис.</w:t>
      </w:r>
      <w:r w:rsidR="00FE7C02">
        <w:rPr>
          <w:rFonts w:ascii="Times New Roman" w:hAnsi="Times New Roman" w:cs="Times New Roman"/>
          <w:color w:val="000000"/>
          <w:sz w:val="28"/>
          <w:szCs w:val="28"/>
        </w:rPr>
        <w:t>3</w:t>
      </w:r>
      <w:r w:rsidR="006C0465">
        <w:rPr>
          <w:rFonts w:ascii="Times New Roman" w:hAnsi="Times New Roman" w:cs="Times New Roman"/>
          <w:color w:val="000000"/>
          <w:sz w:val="28"/>
          <w:szCs w:val="28"/>
        </w:rPr>
        <w:t>)</w:t>
      </w:r>
      <w:r w:rsidR="008A56FB">
        <w:rPr>
          <w:rFonts w:ascii="Times New Roman" w:hAnsi="Times New Roman" w:cs="Times New Roman"/>
          <w:color w:val="000000"/>
          <w:sz w:val="28"/>
          <w:szCs w:val="28"/>
        </w:rPr>
        <w:t>.</w:t>
      </w:r>
    </w:p>
    <w:p w14:paraId="1584817E" w14:textId="77777777" w:rsidR="008A56FB" w:rsidRDefault="008A56FB" w:rsidP="005D224E">
      <w:pPr>
        <w:spacing w:after="0" w:line="360" w:lineRule="auto"/>
        <w:ind w:firstLine="709"/>
        <w:jc w:val="both"/>
        <w:rPr>
          <w:rFonts w:ascii="Times New Roman" w:hAnsi="Times New Roman" w:cs="Times New Roman"/>
          <w:color w:val="000000"/>
          <w:sz w:val="28"/>
          <w:szCs w:val="28"/>
        </w:rPr>
      </w:pPr>
      <w:r w:rsidRPr="008A56FB">
        <w:rPr>
          <w:rFonts w:ascii="Times New Roman" w:hAnsi="Times New Roman" w:cs="Times New Roman"/>
          <w:color w:val="000000"/>
          <w:sz w:val="28"/>
          <w:szCs w:val="28"/>
        </w:rPr>
        <w:t xml:space="preserve">Во-первых, это расходы, которые не включены в фактическую стоимость товаров: вознаграждения посредникам и брокерам (не считается вознаграждение за закупку), расходы на тару, но только в том случае, если она рассматривается, как единое целое с ввозимыми товарами, а также включаются расходы, связанные с упаковкой товаров. </w:t>
      </w:r>
    </w:p>
    <w:p w14:paraId="029EE57D" w14:textId="77777777" w:rsidR="00C47DF1" w:rsidRDefault="008A56FB" w:rsidP="005D224E">
      <w:pPr>
        <w:spacing w:after="0" w:line="360" w:lineRule="auto"/>
        <w:ind w:firstLine="709"/>
        <w:jc w:val="both"/>
        <w:rPr>
          <w:rFonts w:ascii="Times New Roman" w:hAnsi="Times New Roman" w:cs="Times New Roman"/>
          <w:color w:val="000000"/>
          <w:sz w:val="28"/>
          <w:szCs w:val="28"/>
        </w:rPr>
      </w:pPr>
      <w:r w:rsidRPr="008A56FB">
        <w:rPr>
          <w:rFonts w:ascii="Times New Roman" w:hAnsi="Times New Roman" w:cs="Times New Roman"/>
          <w:color w:val="000000"/>
          <w:sz w:val="28"/>
          <w:szCs w:val="28"/>
        </w:rPr>
        <w:t>Следующая группа дополнительных начислений связана с товарами и услугами, которые предоставлены покупателем косвенно или прямо, а также бесплатно или по сниженной цене с целью использования их для производства, продажи и последующего вывоза на территорию Союза. Это расходы на сырье, материалы, полуфабрикаты, инструменты, штампы, формы, услуги по проектированию, разработке, художественному оформлению, которые были выполнены не на территории ЕАЭС.</w:t>
      </w:r>
    </w:p>
    <w:p w14:paraId="78BD65FE" w14:textId="1ADBF050" w:rsidR="00C47DF1" w:rsidRDefault="008A56FB" w:rsidP="005D224E">
      <w:pPr>
        <w:spacing w:after="0" w:line="360" w:lineRule="auto"/>
        <w:ind w:firstLine="709"/>
        <w:jc w:val="both"/>
        <w:rPr>
          <w:rFonts w:ascii="Times New Roman" w:hAnsi="Times New Roman" w:cs="Times New Roman"/>
          <w:color w:val="000000"/>
          <w:sz w:val="28"/>
          <w:szCs w:val="28"/>
        </w:rPr>
      </w:pPr>
      <w:r w:rsidRPr="008A56FB">
        <w:rPr>
          <w:rFonts w:ascii="Times New Roman" w:hAnsi="Times New Roman" w:cs="Times New Roman"/>
          <w:color w:val="000000"/>
          <w:sz w:val="28"/>
          <w:szCs w:val="28"/>
        </w:rPr>
        <w:lastRenderedPageBreak/>
        <w:t>Также в стоимость включаются расходы на перевозку товаров до места прибытия на таможенную территорию Союза и расходы на погрузку, разгрузку или перегрузку, а также на страхование, связанное с данными операциями.</w:t>
      </w:r>
    </w:p>
    <w:p w14:paraId="1EB29FE0" w14:textId="48081293" w:rsidR="008A56FB" w:rsidRDefault="008A56FB" w:rsidP="005D224E">
      <w:pPr>
        <w:spacing w:after="0" w:line="360" w:lineRule="auto"/>
        <w:ind w:firstLine="709"/>
        <w:jc w:val="both"/>
        <w:rPr>
          <w:rFonts w:ascii="Times New Roman" w:hAnsi="Times New Roman" w:cs="Times New Roman"/>
          <w:color w:val="000000"/>
          <w:sz w:val="28"/>
          <w:szCs w:val="28"/>
        </w:rPr>
      </w:pPr>
      <w:r w:rsidRPr="008A56FB">
        <w:rPr>
          <w:rFonts w:ascii="Times New Roman" w:hAnsi="Times New Roman" w:cs="Times New Roman"/>
          <w:color w:val="000000"/>
          <w:sz w:val="28"/>
          <w:szCs w:val="28"/>
        </w:rPr>
        <w:t xml:space="preserve"> Последней категорией расходов являются лицензионные и подобные платежи. Данные расходы связаны с использованием объектов интеллектуальной собственности и состоят из платежей за право воспроизведения ввозимых товаров и платежей за право распределения или перепродажи товаров (за исключением случая, когда такие платежи являются условием для продажи ввозимых товаров). Все дополнительные начисления основываются на документально подтверждённой достоверной информации.</w:t>
      </w:r>
    </w:p>
    <w:p w14:paraId="3AF49774" w14:textId="5F2635B9" w:rsidR="00C47DF1" w:rsidRDefault="006C0465" w:rsidP="00C47DF1">
      <w:pPr>
        <w:spacing w:after="0" w:line="360" w:lineRule="auto"/>
        <w:jc w:val="both"/>
        <w:rPr>
          <w:rFonts w:ascii="Times New Roman" w:hAnsi="Times New Roman" w:cs="Times New Roman"/>
          <w:color w:val="000000"/>
          <w:sz w:val="28"/>
          <w:szCs w:val="28"/>
        </w:rPr>
      </w:pPr>
      <w:r w:rsidRPr="007C2548">
        <w:rPr>
          <w:rFonts w:ascii="Times New Roman" w:hAnsi="Times New Roman" w:cs="Times New Roman"/>
          <w:noProof/>
          <w:color w:val="000000"/>
          <w:sz w:val="28"/>
          <w:szCs w:val="28"/>
        </w:rPr>
        <w:drawing>
          <wp:inline distT="0" distB="0" distL="0" distR="0" wp14:anchorId="6F8E9CD4" wp14:editId="63E4EDA6">
            <wp:extent cx="6119495" cy="5191125"/>
            <wp:effectExtent l="0" t="0" r="0" b="15875"/>
            <wp:docPr id="42" name="Схема 4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8" r:lo="rId19" r:qs="rId20" r:cs="rId21"/>
              </a:graphicData>
            </a:graphic>
          </wp:inline>
        </w:drawing>
      </w:r>
      <w:r w:rsidRPr="006C0465">
        <w:rPr>
          <w:rFonts w:ascii="Times New Roman" w:hAnsi="Times New Roman" w:cs="Times New Roman"/>
          <w:color w:val="000000"/>
          <w:sz w:val="28"/>
          <w:szCs w:val="28"/>
        </w:rPr>
        <w:t xml:space="preserve">Рис. </w:t>
      </w:r>
      <w:r w:rsidR="00FE7C02">
        <w:rPr>
          <w:rFonts w:ascii="Times New Roman" w:hAnsi="Times New Roman" w:cs="Times New Roman"/>
          <w:color w:val="000000"/>
          <w:sz w:val="28"/>
          <w:szCs w:val="28"/>
        </w:rPr>
        <w:t>3</w:t>
      </w:r>
      <w:r w:rsidRPr="006C0465">
        <w:rPr>
          <w:rFonts w:ascii="Times New Roman" w:hAnsi="Times New Roman" w:cs="Times New Roman"/>
          <w:color w:val="000000"/>
          <w:sz w:val="28"/>
          <w:szCs w:val="28"/>
        </w:rPr>
        <w:t>. Дополнительные начисления к цене фактически уплаченной или подлежащей уплате</w:t>
      </w:r>
      <w:r w:rsidR="00C47DF1">
        <w:rPr>
          <w:rFonts w:ascii="Times New Roman" w:hAnsi="Times New Roman" w:cs="Times New Roman"/>
          <w:color w:val="000000"/>
          <w:sz w:val="28"/>
          <w:szCs w:val="28"/>
        </w:rPr>
        <w:br w:type="page"/>
      </w:r>
    </w:p>
    <w:p w14:paraId="2E81DF02" w14:textId="639E1438" w:rsidR="005D224E" w:rsidRDefault="005D224E" w:rsidP="005D224E">
      <w:pPr>
        <w:spacing w:after="0" w:line="360" w:lineRule="auto"/>
        <w:ind w:firstLine="709"/>
        <w:jc w:val="both"/>
        <w:rPr>
          <w:rFonts w:ascii="Times New Roman" w:hAnsi="Times New Roman" w:cs="Times New Roman"/>
          <w:color w:val="000000"/>
          <w:sz w:val="28"/>
          <w:szCs w:val="28"/>
        </w:rPr>
      </w:pPr>
      <w:r w:rsidRPr="00E03247">
        <w:rPr>
          <w:rFonts w:ascii="Times New Roman" w:hAnsi="Times New Roman" w:cs="Times New Roman"/>
          <w:color w:val="000000"/>
          <w:sz w:val="28"/>
          <w:szCs w:val="28"/>
        </w:rPr>
        <w:lastRenderedPageBreak/>
        <w:t xml:space="preserve">При этом не являются дополнительными начислениями и не включаются в таможенную стоимость следующие расходы, которые связанны с операциями после пересечения товарами таможенной границы ЕАЭС. Это расходы, связанные с перевозкой по таможенной территории Союза от места их прибытия, расходы строительство, сборку и монтаж, которые производятся после ввоза, а также пошлины, налоги и сборы, уплачиваемые в связи с ввозом. </w:t>
      </w:r>
    </w:p>
    <w:p w14:paraId="6CE75EB1" w14:textId="0A7DEE42" w:rsidR="00904C67" w:rsidRPr="00904C67" w:rsidRDefault="00904C67" w:rsidP="00904C67">
      <w:pPr>
        <w:spacing w:after="0" w:line="360" w:lineRule="auto"/>
        <w:ind w:firstLine="709"/>
        <w:jc w:val="both"/>
        <w:rPr>
          <w:rFonts w:ascii="Times New Roman" w:eastAsia="Calibri" w:hAnsi="Times New Roman" w:cs="Times New Roman"/>
          <w:sz w:val="28"/>
          <w:szCs w:val="28"/>
        </w:rPr>
      </w:pPr>
      <w:r w:rsidRPr="00904C67">
        <w:rPr>
          <w:rFonts w:ascii="Times New Roman" w:eastAsia="Calibri" w:hAnsi="Times New Roman" w:cs="Times New Roman"/>
          <w:sz w:val="28"/>
          <w:szCs w:val="28"/>
        </w:rPr>
        <w:t>Также для определения таможенной стоимости, применяя метод 1, можно использоваться базисные условия поставки товаров (</w:t>
      </w:r>
      <w:r w:rsidR="00D7409C">
        <w:rPr>
          <w:rFonts w:ascii="Times New Roman" w:eastAsia="Calibri" w:hAnsi="Times New Roman" w:cs="Times New Roman"/>
          <w:sz w:val="28"/>
          <w:szCs w:val="28"/>
        </w:rPr>
        <w:t>далее -</w:t>
      </w:r>
      <w:r w:rsidRPr="00904C67">
        <w:rPr>
          <w:rFonts w:ascii="Times New Roman" w:eastAsia="Calibri" w:hAnsi="Times New Roman" w:cs="Times New Roman"/>
          <w:sz w:val="28"/>
          <w:szCs w:val="28"/>
        </w:rPr>
        <w:t xml:space="preserve">БУПТ). Базисные условия поставки товаров – это общепризнанные торговые обычаи, соответствующие содержанию и характеру международных сделок. БУПТ являются ключевым условием контракта международной купли-продажи. Базисные условия определяют базис цены сделки, а именно распределение расходов, которые связанны с доставкой товара между продавцом и покупателем (рис. </w:t>
      </w:r>
      <w:r>
        <w:rPr>
          <w:rFonts w:ascii="Times New Roman" w:eastAsia="Calibri" w:hAnsi="Times New Roman" w:cs="Times New Roman"/>
          <w:sz w:val="28"/>
          <w:szCs w:val="28"/>
        </w:rPr>
        <w:t>4</w:t>
      </w:r>
      <w:r w:rsidRPr="00904C67">
        <w:rPr>
          <w:rFonts w:ascii="Times New Roman" w:eastAsia="Calibri" w:hAnsi="Times New Roman" w:cs="Times New Roman"/>
          <w:sz w:val="28"/>
          <w:szCs w:val="28"/>
        </w:rPr>
        <w:t>.). Еще одним важным элементом является то, что БУПТ определяет момент перехода рисков, в случае порчи, повреждения, гибели товара, с продавца на покупателя.</w:t>
      </w:r>
    </w:p>
    <w:p w14:paraId="0328A89C" w14:textId="77777777" w:rsidR="00904C67" w:rsidRPr="00904C67" w:rsidRDefault="00904C67" w:rsidP="00904C67">
      <w:pPr>
        <w:spacing w:after="0" w:line="240" w:lineRule="auto"/>
        <w:jc w:val="center"/>
        <w:rPr>
          <w:rFonts w:ascii="Times New Roman" w:eastAsia="Calibri" w:hAnsi="Times New Roman" w:cs="Times New Roman"/>
          <w:sz w:val="28"/>
          <w:szCs w:val="28"/>
        </w:rPr>
      </w:pPr>
      <w:r w:rsidRPr="00904C67">
        <w:rPr>
          <w:rFonts w:ascii="Times New Roman" w:eastAsia="Calibri" w:hAnsi="Times New Roman" w:cs="Times New Roman"/>
          <w:noProof/>
          <w:sz w:val="28"/>
          <w:szCs w:val="28"/>
        </w:rPr>
        <w:drawing>
          <wp:inline distT="0" distB="0" distL="0" distR="0" wp14:anchorId="28A41454" wp14:editId="39ACA119">
            <wp:extent cx="6400800" cy="1252220"/>
            <wp:effectExtent l="0" t="0" r="38100" b="0"/>
            <wp:docPr id="45" name="Схема 4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3" r:lo="rId24" r:qs="rId25" r:cs="rId26"/>
              </a:graphicData>
            </a:graphic>
          </wp:inline>
        </w:drawing>
      </w:r>
    </w:p>
    <w:p w14:paraId="49D92956" w14:textId="50EB747D" w:rsidR="00904C67" w:rsidRPr="00904C67" w:rsidRDefault="00904C67" w:rsidP="00904C67">
      <w:pPr>
        <w:spacing w:after="0" w:line="240" w:lineRule="auto"/>
        <w:jc w:val="center"/>
        <w:rPr>
          <w:rFonts w:ascii="Times New Roman" w:eastAsia="Calibri" w:hAnsi="Times New Roman" w:cs="Times New Roman"/>
          <w:sz w:val="28"/>
          <w:szCs w:val="28"/>
        </w:rPr>
      </w:pPr>
      <w:r w:rsidRPr="00904C67">
        <w:rPr>
          <w:rFonts w:ascii="Times New Roman" w:eastAsia="Calibri" w:hAnsi="Times New Roman" w:cs="Times New Roman"/>
          <w:sz w:val="28"/>
          <w:szCs w:val="28"/>
        </w:rPr>
        <w:t xml:space="preserve">Рис. </w:t>
      </w:r>
      <w:r>
        <w:rPr>
          <w:rFonts w:ascii="Times New Roman" w:eastAsia="Calibri" w:hAnsi="Times New Roman" w:cs="Times New Roman"/>
          <w:sz w:val="28"/>
          <w:szCs w:val="28"/>
        </w:rPr>
        <w:t>4</w:t>
      </w:r>
      <w:r w:rsidRPr="00904C67">
        <w:rPr>
          <w:rFonts w:ascii="Times New Roman" w:eastAsia="Calibri" w:hAnsi="Times New Roman" w:cs="Times New Roman"/>
          <w:sz w:val="28"/>
          <w:szCs w:val="28"/>
        </w:rPr>
        <w:t>. Базисные условия поставки товаров и таможенная стоимость</w:t>
      </w:r>
    </w:p>
    <w:p w14:paraId="2B1398B8" w14:textId="77777777" w:rsidR="00904C67" w:rsidRPr="00904C67" w:rsidRDefault="00904C67" w:rsidP="00904C67">
      <w:pPr>
        <w:spacing w:after="0" w:line="360" w:lineRule="auto"/>
        <w:ind w:firstLine="709"/>
        <w:jc w:val="both"/>
        <w:rPr>
          <w:rFonts w:ascii="Times New Roman" w:eastAsia="Calibri" w:hAnsi="Times New Roman" w:cs="Times New Roman"/>
          <w:sz w:val="28"/>
          <w:szCs w:val="28"/>
        </w:rPr>
      </w:pPr>
      <w:r w:rsidRPr="00904C67">
        <w:rPr>
          <w:rFonts w:ascii="Times New Roman" w:eastAsia="Calibri" w:hAnsi="Times New Roman" w:cs="Times New Roman"/>
          <w:sz w:val="28"/>
          <w:szCs w:val="28"/>
        </w:rPr>
        <w:t xml:space="preserve"> </w:t>
      </w:r>
    </w:p>
    <w:p w14:paraId="29D69879" w14:textId="5B34C720" w:rsidR="00904C67" w:rsidRPr="00904C67" w:rsidRDefault="00904C67" w:rsidP="00904C67">
      <w:pPr>
        <w:spacing w:after="0" w:line="360" w:lineRule="auto"/>
        <w:ind w:firstLine="709"/>
        <w:jc w:val="both"/>
        <w:rPr>
          <w:rFonts w:ascii="Times New Roman" w:eastAsia="Calibri" w:hAnsi="Times New Roman" w:cs="Times New Roman"/>
          <w:sz w:val="28"/>
          <w:szCs w:val="28"/>
        </w:rPr>
      </w:pPr>
      <w:r w:rsidRPr="00904C67">
        <w:rPr>
          <w:rFonts w:ascii="Times New Roman" w:eastAsia="Calibri" w:hAnsi="Times New Roman" w:cs="Times New Roman"/>
          <w:sz w:val="28"/>
          <w:szCs w:val="28"/>
        </w:rPr>
        <w:t>Базисные условия поставок носят рекомендательный характер использования. Так, в настоящее время, чаще всего используют базисные условия поставки товаров «</w:t>
      </w:r>
      <w:bookmarkStart w:id="5" w:name="_Hlk152584304"/>
      <w:r w:rsidRPr="00904C67">
        <w:rPr>
          <w:rFonts w:ascii="Times New Roman" w:eastAsia="Calibri" w:hAnsi="Times New Roman" w:cs="Times New Roman"/>
          <w:sz w:val="28"/>
          <w:szCs w:val="28"/>
        </w:rPr>
        <w:t>Инкотермс 2020</w:t>
      </w:r>
      <w:bookmarkEnd w:id="5"/>
      <w:r w:rsidRPr="00904C67">
        <w:rPr>
          <w:rFonts w:ascii="Times New Roman" w:eastAsia="Calibri" w:hAnsi="Times New Roman" w:cs="Times New Roman"/>
          <w:sz w:val="28"/>
          <w:szCs w:val="28"/>
        </w:rPr>
        <w:t>»</w:t>
      </w:r>
      <w:r w:rsidR="00D7409C">
        <w:rPr>
          <w:rStyle w:val="ad"/>
          <w:rFonts w:ascii="Times New Roman" w:eastAsia="Calibri" w:hAnsi="Times New Roman" w:cs="Times New Roman"/>
          <w:sz w:val="28"/>
          <w:szCs w:val="28"/>
        </w:rPr>
        <w:footnoteReference w:id="5"/>
      </w:r>
      <w:r w:rsidRPr="00904C67">
        <w:rPr>
          <w:rFonts w:ascii="Times New Roman" w:eastAsia="Calibri" w:hAnsi="Times New Roman" w:cs="Times New Roman"/>
          <w:sz w:val="28"/>
          <w:szCs w:val="28"/>
        </w:rPr>
        <w:t>. В зависимости от БУПТ определяются расходы, которые подлежат доначислению к цене сделки при определении таможенной стоимости товаров.</w:t>
      </w:r>
    </w:p>
    <w:p w14:paraId="47551B7B" w14:textId="77777777" w:rsidR="005D224E" w:rsidRPr="00E03247" w:rsidRDefault="005D224E" w:rsidP="005D224E">
      <w:pPr>
        <w:spacing w:after="0" w:line="360" w:lineRule="auto"/>
        <w:ind w:firstLine="709"/>
        <w:jc w:val="both"/>
        <w:rPr>
          <w:rFonts w:ascii="Times New Roman" w:hAnsi="Times New Roman" w:cs="Times New Roman"/>
          <w:color w:val="000000"/>
          <w:sz w:val="28"/>
          <w:szCs w:val="28"/>
        </w:rPr>
      </w:pPr>
      <w:r w:rsidRPr="00E03247">
        <w:rPr>
          <w:rFonts w:ascii="Times New Roman" w:hAnsi="Times New Roman" w:cs="Times New Roman"/>
          <w:color w:val="000000"/>
          <w:sz w:val="28"/>
          <w:szCs w:val="28"/>
        </w:rPr>
        <w:lastRenderedPageBreak/>
        <w:t xml:space="preserve">Данный </w:t>
      </w:r>
      <w:r>
        <w:rPr>
          <w:rFonts w:ascii="Times New Roman" w:hAnsi="Times New Roman" w:cs="Times New Roman"/>
          <w:color w:val="000000"/>
          <w:sz w:val="28"/>
          <w:szCs w:val="28"/>
        </w:rPr>
        <w:t>метод</w:t>
      </w:r>
      <w:r w:rsidRPr="00E03247">
        <w:rPr>
          <w:rFonts w:ascii="Times New Roman" w:hAnsi="Times New Roman" w:cs="Times New Roman"/>
          <w:color w:val="000000"/>
          <w:sz w:val="28"/>
          <w:szCs w:val="28"/>
        </w:rPr>
        <w:t xml:space="preserve"> может быть применим при выполнении определенных условий. При этом невыполнение хотя бы одного из данных критериев приводит к тому, что цена является неприемлемой для определения таможенной стоимости. Должны отсутствовать ограничения, связные с правами покупателя на пользование и распоряжение товарами. К данному условию не относятся ограничения географического района продажи товаров, ограничения, которые ни имеют значительного влияния на стоимость товаров. Следующее условие заключается в том, что стоимость товаров не имеет зависимости от обязательств, влияние которых на цену не может быть определенно количественными характеристиками. Также никакая часть дохода, полученного от продажи, никаким образом, то есть прямо или косвенно не причитается продавцу. Исключением из этого условия являются случаи, когда могут быть произведены упомянутые выше дополнительные начисления. Последним критерием является то, что покупатель и продавец не являются взаимосвязанными лицами.</w:t>
      </w:r>
    </w:p>
    <w:p w14:paraId="270C09AA" w14:textId="77777777" w:rsidR="005D224E" w:rsidRDefault="005D224E" w:rsidP="005D224E">
      <w:pPr>
        <w:spacing w:after="0" w:line="360" w:lineRule="auto"/>
        <w:ind w:firstLine="709"/>
        <w:jc w:val="both"/>
        <w:rPr>
          <w:color w:val="000000"/>
          <w:sz w:val="28"/>
          <w:szCs w:val="28"/>
        </w:rPr>
      </w:pPr>
      <w:r>
        <w:rPr>
          <w:rFonts w:ascii="Times New Roman" w:hAnsi="Times New Roman" w:cs="Times New Roman"/>
          <w:color w:val="000000"/>
          <w:sz w:val="28"/>
          <w:szCs w:val="28"/>
        </w:rPr>
        <w:t>Метод</w:t>
      </w:r>
      <w:r w:rsidRPr="007A0DF8">
        <w:rPr>
          <w:rFonts w:ascii="Times New Roman" w:hAnsi="Times New Roman" w:cs="Times New Roman"/>
          <w:color w:val="000000"/>
          <w:sz w:val="28"/>
          <w:szCs w:val="28"/>
        </w:rPr>
        <w:t xml:space="preserve"> определения таможенной </w:t>
      </w:r>
      <w:r>
        <w:rPr>
          <w:rFonts w:ascii="Times New Roman" w:hAnsi="Times New Roman" w:cs="Times New Roman"/>
          <w:color w:val="000000"/>
          <w:sz w:val="28"/>
          <w:szCs w:val="28"/>
        </w:rPr>
        <w:t xml:space="preserve">стоимости товаров по стоимости </w:t>
      </w:r>
      <w:r w:rsidRPr="007A0DF8">
        <w:rPr>
          <w:rFonts w:ascii="Times New Roman" w:hAnsi="Times New Roman" w:cs="Times New Roman"/>
          <w:color w:val="000000"/>
          <w:sz w:val="28"/>
          <w:szCs w:val="28"/>
        </w:rPr>
        <w:t xml:space="preserve">сделки с идентичными товарами </w:t>
      </w:r>
      <w:r>
        <w:rPr>
          <w:rFonts w:ascii="Times New Roman" w:hAnsi="Times New Roman" w:cs="Times New Roman"/>
          <w:color w:val="000000"/>
          <w:sz w:val="28"/>
          <w:szCs w:val="28"/>
        </w:rPr>
        <w:t xml:space="preserve">(метод 2) применяется тогда, когда </w:t>
      </w:r>
      <w:r w:rsidRPr="0013497D">
        <w:rPr>
          <w:rFonts w:ascii="Times New Roman" w:hAnsi="Times New Roman" w:cs="Times New Roman"/>
          <w:color w:val="000000"/>
          <w:sz w:val="28"/>
          <w:szCs w:val="28"/>
        </w:rPr>
        <w:t>стоимость не может быть определена по метод</w:t>
      </w:r>
      <w:r>
        <w:rPr>
          <w:rFonts w:ascii="Times New Roman" w:hAnsi="Times New Roman" w:cs="Times New Roman"/>
          <w:color w:val="000000"/>
          <w:sz w:val="28"/>
          <w:szCs w:val="28"/>
        </w:rPr>
        <w:t>у 1</w:t>
      </w:r>
      <w:r w:rsidRPr="0013497D">
        <w:rPr>
          <w:rFonts w:ascii="Times New Roman" w:hAnsi="Times New Roman" w:cs="Times New Roman"/>
          <w:color w:val="000000"/>
          <w:sz w:val="28"/>
          <w:szCs w:val="28"/>
        </w:rPr>
        <w:t>, а именно</w:t>
      </w:r>
      <w:r>
        <w:rPr>
          <w:rFonts w:ascii="Times New Roman" w:hAnsi="Times New Roman" w:cs="Times New Roman"/>
          <w:color w:val="000000"/>
          <w:sz w:val="28"/>
          <w:szCs w:val="28"/>
        </w:rPr>
        <w:t xml:space="preserve"> в следующих случаях</w:t>
      </w:r>
      <w:r w:rsidRPr="0013497D">
        <w:rPr>
          <w:rFonts w:ascii="Times New Roman" w:hAnsi="Times New Roman" w:cs="Times New Roman"/>
          <w:color w:val="000000"/>
          <w:sz w:val="28"/>
          <w:szCs w:val="28"/>
        </w:rPr>
        <w:t>:</w:t>
      </w:r>
      <w:r w:rsidRPr="0013497D">
        <w:rPr>
          <w:color w:val="000000"/>
          <w:sz w:val="28"/>
          <w:szCs w:val="28"/>
        </w:rPr>
        <w:t xml:space="preserve"> </w:t>
      </w:r>
    </w:p>
    <w:p w14:paraId="13DB7948" w14:textId="77777777" w:rsidR="005D224E" w:rsidRPr="0013497D" w:rsidRDefault="005D224E" w:rsidP="005D224E">
      <w:pPr>
        <w:spacing w:after="0" w:line="360" w:lineRule="auto"/>
        <w:ind w:firstLine="709"/>
        <w:jc w:val="both"/>
        <w:rPr>
          <w:rFonts w:ascii="Times New Roman" w:hAnsi="Times New Roman" w:cs="Times New Roman"/>
          <w:color w:val="000000"/>
          <w:sz w:val="28"/>
          <w:szCs w:val="28"/>
        </w:rPr>
      </w:pPr>
      <w:r>
        <w:rPr>
          <w:color w:val="000000"/>
          <w:sz w:val="28"/>
          <w:szCs w:val="28"/>
        </w:rPr>
        <w:t xml:space="preserve">– </w:t>
      </w:r>
      <w:r>
        <w:rPr>
          <w:rFonts w:ascii="Times New Roman" w:hAnsi="Times New Roman" w:cs="Times New Roman"/>
          <w:color w:val="000000"/>
          <w:sz w:val="28"/>
          <w:szCs w:val="28"/>
        </w:rPr>
        <w:t>при отсутствии сделки купли-продажи и цены</w:t>
      </w:r>
      <w:r w:rsidRPr="0013497D">
        <w:rPr>
          <w:rFonts w:ascii="Times New Roman" w:hAnsi="Times New Roman" w:cs="Times New Roman"/>
          <w:color w:val="000000"/>
          <w:sz w:val="28"/>
          <w:szCs w:val="28"/>
        </w:rPr>
        <w:t>, фактически уплаченная или подлежащая уплате за ввозимые товары</w:t>
      </w:r>
      <w:r>
        <w:rPr>
          <w:rFonts w:ascii="Times New Roman" w:hAnsi="Times New Roman" w:cs="Times New Roman"/>
          <w:color w:val="000000"/>
          <w:sz w:val="28"/>
          <w:szCs w:val="28"/>
        </w:rPr>
        <w:t xml:space="preserve"> (например, когда товары перемещаются по безвозмездному договору);</w:t>
      </w:r>
    </w:p>
    <w:p w14:paraId="65C86D4F" w14:textId="77777777" w:rsidR="005D224E"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если </w:t>
      </w:r>
      <w:r w:rsidRPr="0013497D">
        <w:rPr>
          <w:rFonts w:ascii="Times New Roman" w:hAnsi="Times New Roman" w:cs="Times New Roman"/>
          <w:color w:val="000000"/>
          <w:sz w:val="28"/>
          <w:szCs w:val="28"/>
        </w:rPr>
        <w:t>не выполняется хотя бы одно из условий применения метода 1</w:t>
      </w:r>
      <w:r>
        <w:rPr>
          <w:rFonts w:ascii="Times New Roman" w:hAnsi="Times New Roman" w:cs="Times New Roman"/>
          <w:color w:val="000000"/>
          <w:sz w:val="28"/>
          <w:szCs w:val="28"/>
        </w:rPr>
        <w:t>;</w:t>
      </w:r>
      <w:r w:rsidRPr="0013497D">
        <w:rPr>
          <w:rFonts w:ascii="Times New Roman" w:hAnsi="Times New Roman" w:cs="Times New Roman"/>
          <w:color w:val="000000"/>
          <w:sz w:val="28"/>
          <w:szCs w:val="28"/>
        </w:rPr>
        <w:t xml:space="preserve"> </w:t>
      </w:r>
    </w:p>
    <w:p w14:paraId="55166BB4" w14:textId="77777777" w:rsidR="005D224E"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softHyphen/>
        <w:t>– при отсутствии достоверной</w:t>
      </w:r>
      <w:r w:rsidRPr="0013497D">
        <w:rPr>
          <w:rFonts w:ascii="Times New Roman" w:hAnsi="Times New Roman" w:cs="Times New Roman"/>
          <w:color w:val="000000"/>
          <w:sz w:val="28"/>
          <w:szCs w:val="28"/>
        </w:rPr>
        <w:t>, количественно опр</w:t>
      </w:r>
      <w:r>
        <w:rPr>
          <w:rFonts w:ascii="Times New Roman" w:hAnsi="Times New Roman" w:cs="Times New Roman"/>
          <w:color w:val="000000"/>
          <w:sz w:val="28"/>
          <w:szCs w:val="28"/>
        </w:rPr>
        <w:t>еделяемой и документально подтвержденной информации</w:t>
      </w:r>
      <w:r w:rsidRPr="0013497D">
        <w:rPr>
          <w:rFonts w:ascii="Times New Roman" w:hAnsi="Times New Roman" w:cs="Times New Roman"/>
          <w:color w:val="000000"/>
          <w:sz w:val="28"/>
          <w:szCs w:val="28"/>
        </w:rPr>
        <w:t xml:space="preserve"> о таможенной стоимости</w:t>
      </w:r>
      <w:r>
        <w:rPr>
          <w:rFonts w:ascii="Times New Roman" w:hAnsi="Times New Roman" w:cs="Times New Roman"/>
          <w:color w:val="000000"/>
          <w:sz w:val="28"/>
          <w:szCs w:val="28"/>
        </w:rPr>
        <w:t xml:space="preserve"> товаров, включая информацию, необходимую</w:t>
      </w:r>
      <w:r w:rsidRPr="0013497D">
        <w:rPr>
          <w:rFonts w:ascii="Times New Roman" w:hAnsi="Times New Roman" w:cs="Times New Roman"/>
          <w:color w:val="000000"/>
          <w:sz w:val="28"/>
          <w:szCs w:val="28"/>
        </w:rPr>
        <w:t xml:space="preserve"> для подтверждения цены, фактически уплаченной или подлежащей уплате, и осуществления дополнительных начислений к цене, фактически уплаченной или подлежащей уплате</w:t>
      </w:r>
      <w:r>
        <w:rPr>
          <w:rFonts w:ascii="Times New Roman" w:hAnsi="Times New Roman" w:cs="Times New Roman"/>
          <w:color w:val="000000"/>
          <w:sz w:val="28"/>
          <w:szCs w:val="28"/>
        </w:rPr>
        <w:t>.</w:t>
      </w:r>
    </w:p>
    <w:p w14:paraId="22D73B41" w14:textId="49706B2B" w:rsidR="00FB654A" w:rsidRPr="00FB654A" w:rsidRDefault="00FB654A" w:rsidP="00FB654A">
      <w:pPr>
        <w:spacing w:after="0" w:line="360" w:lineRule="auto"/>
        <w:ind w:firstLine="709"/>
        <w:jc w:val="both"/>
        <w:rPr>
          <w:rFonts w:ascii="Times New Roman" w:eastAsia="Calibri" w:hAnsi="Times New Roman" w:cs="Times New Roman"/>
          <w:sz w:val="28"/>
          <w:szCs w:val="28"/>
        </w:rPr>
      </w:pPr>
      <w:r w:rsidRPr="00FB654A">
        <w:rPr>
          <w:rFonts w:ascii="Times New Roman" w:eastAsia="Calibri" w:hAnsi="Times New Roman" w:cs="Times New Roman"/>
          <w:sz w:val="28"/>
          <w:szCs w:val="28"/>
        </w:rPr>
        <w:t xml:space="preserve">Процесс определения таможенной стоимости по методу с идентичными товарами по уровню выявления таких продаж в информационной базе таможенных органов представлен на рис. </w:t>
      </w:r>
      <w:r>
        <w:rPr>
          <w:rFonts w:ascii="Times New Roman" w:eastAsia="Calibri" w:hAnsi="Times New Roman" w:cs="Times New Roman"/>
          <w:sz w:val="28"/>
          <w:szCs w:val="28"/>
        </w:rPr>
        <w:t>5</w:t>
      </w:r>
      <w:r w:rsidRPr="00FB654A">
        <w:rPr>
          <w:rFonts w:ascii="Times New Roman" w:eastAsia="Calibri" w:hAnsi="Times New Roman" w:cs="Times New Roman"/>
          <w:sz w:val="28"/>
          <w:szCs w:val="28"/>
        </w:rPr>
        <w:t>.</w:t>
      </w:r>
    </w:p>
    <w:p w14:paraId="3609039B" w14:textId="77777777" w:rsidR="00FB654A" w:rsidRPr="00FB654A" w:rsidRDefault="00FB654A" w:rsidP="00FB654A">
      <w:pPr>
        <w:spacing w:after="0" w:line="240" w:lineRule="auto"/>
        <w:jc w:val="center"/>
        <w:rPr>
          <w:rFonts w:ascii="Times New Roman" w:eastAsia="Calibri" w:hAnsi="Times New Roman" w:cs="Times New Roman"/>
          <w:sz w:val="28"/>
          <w:szCs w:val="28"/>
        </w:rPr>
      </w:pPr>
      <w:r w:rsidRPr="00FB654A">
        <w:rPr>
          <w:rFonts w:ascii="Times New Roman" w:eastAsia="Calibri" w:hAnsi="Times New Roman" w:cs="Times New Roman"/>
          <w:noProof/>
          <w:sz w:val="28"/>
          <w:szCs w:val="28"/>
        </w:rPr>
        <w:lastRenderedPageBreak/>
        <w:drawing>
          <wp:inline distT="0" distB="0" distL="0" distR="0" wp14:anchorId="22C68A1C" wp14:editId="35AD1429">
            <wp:extent cx="5893654" cy="3665284"/>
            <wp:effectExtent l="0" t="0" r="31115" b="0"/>
            <wp:docPr id="46" name="Схема 4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28" r:lo="rId29" r:qs="rId30" r:cs="rId31"/>
              </a:graphicData>
            </a:graphic>
          </wp:inline>
        </w:drawing>
      </w:r>
    </w:p>
    <w:p w14:paraId="12DC26BB" w14:textId="4E712E8D" w:rsidR="00FB654A" w:rsidRPr="00FB654A" w:rsidRDefault="00FB654A" w:rsidP="00FB654A">
      <w:pPr>
        <w:spacing w:after="0" w:line="240" w:lineRule="auto"/>
        <w:jc w:val="center"/>
        <w:rPr>
          <w:rFonts w:ascii="Times New Roman" w:eastAsia="Calibri" w:hAnsi="Times New Roman" w:cs="Times New Roman"/>
          <w:sz w:val="28"/>
          <w:szCs w:val="28"/>
        </w:rPr>
      </w:pPr>
      <w:r w:rsidRPr="00FB654A">
        <w:rPr>
          <w:rFonts w:ascii="Times New Roman" w:eastAsia="Calibri" w:hAnsi="Times New Roman" w:cs="Times New Roman"/>
          <w:sz w:val="28"/>
          <w:szCs w:val="28"/>
        </w:rPr>
        <w:t xml:space="preserve">Рис. </w:t>
      </w:r>
      <w:r>
        <w:rPr>
          <w:rFonts w:ascii="Times New Roman" w:eastAsia="Calibri" w:hAnsi="Times New Roman" w:cs="Times New Roman"/>
          <w:sz w:val="28"/>
          <w:szCs w:val="28"/>
        </w:rPr>
        <w:t>5</w:t>
      </w:r>
      <w:r w:rsidRPr="00FB654A">
        <w:rPr>
          <w:rFonts w:ascii="Times New Roman" w:eastAsia="Calibri" w:hAnsi="Times New Roman" w:cs="Times New Roman"/>
          <w:sz w:val="28"/>
          <w:szCs w:val="28"/>
        </w:rPr>
        <w:t>. Процесс определения таможенной стоимости при методе по стоимости сделки с идентичными товарами</w:t>
      </w:r>
    </w:p>
    <w:p w14:paraId="7A316882" w14:textId="77777777" w:rsidR="00FB654A" w:rsidRDefault="00FB654A" w:rsidP="005D224E">
      <w:pPr>
        <w:spacing w:after="0" w:line="360" w:lineRule="auto"/>
        <w:ind w:firstLine="709"/>
        <w:jc w:val="both"/>
        <w:rPr>
          <w:rFonts w:ascii="Times New Roman" w:hAnsi="Times New Roman" w:cs="Times New Roman"/>
          <w:color w:val="000000"/>
          <w:sz w:val="28"/>
          <w:szCs w:val="28"/>
        </w:rPr>
      </w:pPr>
    </w:p>
    <w:p w14:paraId="582EC9D5" w14:textId="49D52827" w:rsidR="005D224E" w:rsidRDefault="00FB654A" w:rsidP="005D224E">
      <w:pPr>
        <w:spacing w:after="0" w:line="360" w:lineRule="auto"/>
        <w:ind w:firstLine="709"/>
        <w:jc w:val="both"/>
        <w:rPr>
          <w:rFonts w:ascii="Times New Roman" w:hAnsi="Times New Roman" w:cs="Times New Roman"/>
          <w:color w:val="000000"/>
          <w:sz w:val="28"/>
          <w:szCs w:val="28"/>
        </w:rPr>
      </w:pPr>
      <w:r w:rsidRPr="00FB654A">
        <w:rPr>
          <w:rFonts w:ascii="Times New Roman" w:hAnsi="Times New Roman" w:cs="Times New Roman"/>
          <w:color w:val="000000"/>
          <w:sz w:val="28"/>
          <w:szCs w:val="28"/>
        </w:rPr>
        <w:t xml:space="preserve">Следующий, метод по стоимости сделки с однородными товарами. </w:t>
      </w:r>
      <w:r w:rsidR="005D224E">
        <w:rPr>
          <w:rFonts w:ascii="Times New Roman" w:hAnsi="Times New Roman" w:cs="Times New Roman"/>
          <w:color w:val="000000"/>
          <w:sz w:val="28"/>
          <w:szCs w:val="28"/>
        </w:rPr>
        <w:t xml:space="preserve">Метод определения таможенной стоимости по стоимости сделки </w:t>
      </w:r>
      <w:r w:rsidR="005D224E" w:rsidRPr="007A0DF8">
        <w:rPr>
          <w:rFonts w:ascii="Times New Roman" w:hAnsi="Times New Roman" w:cs="Times New Roman"/>
          <w:color w:val="000000"/>
          <w:sz w:val="28"/>
          <w:szCs w:val="28"/>
        </w:rPr>
        <w:t>с</w:t>
      </w:r>
      <w:r w:rsidR="005D224E">
        <w:rPr>
          <w:rFonts w:ascii="Times New Roman" w:hAnsi="Times New Roman" w:cs="Times New Roman"/>
          <w:color w:val="000000"/>
          <w:sz w:val="28"/>
          <w:szCs w:val="28"/>
        </w:rPr>
        <w:t xml:space="preserve"> однородными товарами (метод 3) применяется, когда</w:t>
      </w:r>
      <w:r w:rsidR="005D224E" w:rsidRPr="007A0DF8">
        <w:rPr>
          <w:rFonts w:ascii="Times New Roman" w:hAnsi="Times New Roman" w:cs="Times New Roman"/>
          <w:color w:val="000000"/>
          <w:sz w:val="28"/>
          <w:szCs w:val="28"/>
        </w:rPr>
        <w:t xml:space="preserve"> таможенная стоимость </w:t>
      </w:r>
      <w:r w:rsidR="005D224E">
        <w:rPr>
          <w:rFonts w:ascii="Times New Roman" w:hAnsi="Times New Roman" w:cs="Times New Roman"/>
          <w:color w:val="000000"/>
          <w:sz w:val="28"/>
          <w:szCs w:val="28"/>
        </w:rPr>
        <w:t xml:space="preserve">товаров </w:t>
      </w:r>
      <w:r w:rsidR="005D224E" w:rsidRPr="007A0DF8">
        <w:rPr>
          <w:rFonts w:ascii="Times New Roman" w:hAnsi="Times New Roman" w:cs="Times New Roman"/>
          <w:color w:val="000000"/>
          <w:sz w:val="28"/>
          <w:szCs w:val="28"/>
        </w:rPr>
        <w:t>не может быть определена по методу 1 и по методу 2</w:t>
      </w:r>
      <w:r w:rsidR="005D224E">
        <w:rPr>
          <w:rFonts w:ascii="Times New Roman" w:hAnsi="Times New Roman" w:cs="Times New Roman"/>
          <w:color w:val="000000"/>
          <w:sz w:val="28"/>
          <w:szCs w:val="28"/>
        </w:rPr>
        <w:t>. Н</w:t>
      </w:r>
      <w:r w:rsidR="005D224E" w:rsidRPr="007A0DF8">
        <w:rPr>
          <w:rFonts w:ascii="Times New Roman" w:hAnsi="Times New Roman" w:cs="Times New Roman"/>
          <w:color w:val="000000"/>
          <w:sz w:val="28"/>
          <w:szCs w:val="28"/>
        </w:rPr>
        <w:t xml:space="preserve">апример, </w:t>
      </w:r>
      <w:r w:rsidR="005D224E">
        <w:rPr>
          <w:rFonts w:ascii="Times New Roman" w:hAnsi="Times New Roman" w:cs="Times New Roman"/>
          <w:color w:val="000000"/>
          <w:sz w:val="28"/>
          <w:szCs w:val="28"/>
        </w:rPr>
        <w:t>при отсутствии сведений</w:t>
      </w:r>
      <w:r w:rsidR="005D224E" w:rsidRPr="007A0DF8">
        <w:rPr>
          <w:rFonts w:ascii="Times New Roman" w:hAnsi="Times New Roman" w:cs="Times New Roman"/>
          <w:color w:val="000000"/>
          <w:sz w:val="28"/>
          <w:szCs w:val="28"/>
        </w:rPr>
        <w:t xml:space="preserve"> о стоимости сделки с и</w:t>
      </w:r>
      <w:r w:rsidR="005D224E">
        <w:rPr>
          <w:rFonts w:ascii="Times New Roman" w:hAnsi="Times New Roman" w:cs="Times New Roman"/>
          <w:color w:val="000000"/>
          <w:sz w:val="28"/>
          <w:szCs w:val="28"/>
        </w:rPr>
        <w:t>дентичными товарами или сведений, документально подтверждающих</w:t>
      </w:r>
      <w:r w:rsidR="005D224E" w:rsidRPr="007A0DF8">
        <w:rPr>
          <w:rFonts w:ascii="Times New Roman" w:hAnsi="Times New Roman" w:cs="Times New Roman"/>
          <w:color w:val="000000"/>
          <w:sz w:val="28"/>
          <w:szCs w:val="28"/>
        </w:rPr>
        <w:t xml:space="preserve"> обоснованность и точность корректировки стоимости, учитывающей различия в коммерческих уровнях продаж и (или) в</w:t>
      </w:r>
      <w:r w:rsidR="005D224E">
        <w:rPr>
          <w:rFonts w:ascii="Times New Roman" w:hAnsi="Times New Roman" w:cs="Times New Roman"/>
          <w:color w:val="000000"/>
          <w:sz w:val="28"/>
          <w:szCs w:val="28"/>
        </w:rPr>
        <w:t xml:space="preserve"> количествах идентичных товаров</w:t>
      </w:r>
      <w:r w:rsidR="005D224E" w:rsidRPr="007A0DF8">
        <w:rPr>
          <w:rFonts w:ascii="Times New Roman" w:hAnsi="Times New Roman" w:cs="Times New Roman"/>
          <w:color w:val="000000"/>
          <w:sz w:val="28"/>
          <w:szCs w:val="28"/>
        </w:rPr>
        <w:t>.</w:t>
      </w:r>
    </w:p>
    <w:p w14:paraId="1601CA5F" w14:textId="214F81D4" w:rsidR="005D224E"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w:t>
      </w:r>
      <w:r w:rsidRPr="00842DE2">
        <w:rPr>
          <w:rFonts w:ascii="Times New Roman" w:hAnsi="Times New Roman" w:cs="Times New Roman"/>
          <w:color w:val="000000"/>
          <w:sz w:val="28"/>
          <w:szCs w:val="28"/>
        </w:rPr>
        <w:t xml:space="preserve">ри определении таможенной стоимости оцениваемых товаров по методу 2 или методу 3 за основу должна приниматься стоимость сделки с идентичными или однородными товарами, проданными для вывоза на таможенную территорию </w:t>
      </w:r>
      <w:r>
        <w:rPr>
          <w:rFonts w:ascii="Times New Roman" w:hAnsi="Times New Roman" w:cs="Times New Roman"/>
          <w:color w:val="000000"/>
          <w:sz w:val="28"/>
          <w:szCs w:val="28"/>
        </w:rPr>
        <w:t>С</w:t>
      </w:r>
      <w:r w:rsidRPr="00842DE2">
        <w:rPr>
          <w:rFonts w:ascii="Times New Roman" w:hAnsi="Times New Roman" w:cs="Times New Roman"/>
          <w:color w:val="000000"/>
          <w:sz w:val="28"/>
          <w:szCs w:val="28"/>
        </w:rPr>
        <w:t>оюза и ввезе</w:t>
      </w:r>
      <w:r>
        <w:rPr>
          <w:rFonts w:ascii="Times New Roman" w:hAnsi="Times New Roman" w:cs="Times New Roman"/>
          <w:color w:val="000000"/>
          <w:sz w:val="28"/>
          <w:szCs w:val="28"/>
        </w:rPr>
        <w:t>нными на таможенную территорию С</w:t>
      </w:r>
      <w:r w:rsidRPr="00842DE2">
        <w:rPr>
          <w:rFonts w:ascii="Times New Roman" w:hAnsi="Times New Roman" w:cs="Times New Roman"/>
          <w:color w:val="000000"/>
          <w:sz w:val="28"/>
          <w:szCs w:val="28"/>
        </w:rPr>
        <w:t xml:space="preserve">оюза в тот же </w:t>
      </w:r>
      <w:r w:rsidRPr="00842DE2">
        <w:rPr>
          <w:rFonts w:ascii="Times New Roman" w:hAnsi="Times New Roman" w:cs="Times New Roman"/>
          <w:color w:val="000000"/>
          <w:sz w:val="28"/>
          <w:szCs w:val="28"/>
        </w:rPr>
        <w:lastRenderedPageBreak/>
        <w:t xml:space="preserve">или в соответствующий ему период времени, что и </w:t>
      </w:r>
      <w:r>
        <w:rPr>
          <w:rFonts w:ascii="Times New Roman" w:hAnsi="Times New Roman" w:cs="Times New Roman"/>
          <w:color w:val="000000"/>
          <w:sz w:val="28"/>
          <w:szCs w:val="28"/>
        </w:rPr>
        <w:t>ввозимые</w:t>
      </w:r>
      <w:r w:rsidRPr="00842DE2">
        <w:rPr>
          <w:rFonts w:ascii="Times New Roman" w:hAnsi="Times New Roman" w:cs="Times New Roman"/>
          <w:color w:val="000000"/>
          <w:sz w:val="28"/>
          <w:szCs w:val="28"/>
        </w:rPr>
        <w:t xml:space="preserve"> товары, но не ранее чем за 90 календарных дней </w:t>
      </w:r>
      <w:r>
        <w:rPr>
          <w:rFonts w:ascii="Times New Roman" w:hAnsi="Times New Roman" w:cs="Times New Roman"/>
          <w:color w:val="000000"/>
          <w:sz w:val="28"/>
          <w:szCs w:val="28"/>
        </w:rPr>
        <w:t xml:space="preserve">до ввоза ввозимых </w:t>
      </w:r>
      <w:r w:rsidRPr="00842DE2">
        <w:rPr>
          <w:rFonts w:ascii="Times New Roman" w:hAnsi="Times New Roman" w:cs="Times New Roman"/>
          <w:color w:val="000000"/>
          <w:sz w:val="28"/>
          <w:szCs w:val="28"/>
        </w:rPr>
        <w:t>товаров</w:t>
      </w:r>
      <w:r w:rsidR="00FB654A">
        <w:rPr>
          <w:rStyle w:val="ad"/>
          <w:rFonts w:ascii="Times New Roman" w:hAnsi="Times New Roman" w:cs="Times New Roman"/>
          <w:color w:val="000000"/>
          <w:sz w:val="28"/>
          <w:szCs w:val="28"/>
        </w:rPr>
        <w:footnoteReference w:id="6"/>
      </w:r>
      <w:r w:rsidRPr="00842DE2">
        <w:rPr>
          <w:rFonts w:ascii="Times New Roman" w:hAnsi="Times New Roman" w:cs="Times New Roman"/>
          <w:color w:val="000000"/>
          <w:sz w:val="28"/>
          <w:szCs w:val="28"/>
        </w:rPr>
        <w:t>.</w:t>
      </w:r>
    </w:p>
    <w:p w14:paraId="5DBD57C1" w14:textId="77777777" w:rsidR="005D224E"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Метод 2 и метод 3 схожи в части механизма их применения. Главным их отличием является то, сделка с какими товарами берется за основу. Необходимо четко понимать различие между идентичными и однородными товарами.</w:t>
      </w:r>
    </w:p>
    <w:p w14:paraId="43DC7EA0" w14:textId="46BF1C9C" w:rsidR="005D224E" w:rsidRDefault="005D224E" w:rsidP="005D224E">
      <w:pPr>
        <w:spacing w:after="0" w:line="360" w:lineRule="auto"/>
        <w:ind w:firstLine="709"/>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Таблица </w:t>
      </w:r>
      <w:r w:rsidR="007560C7">
        <w:rPr>
          <w:rFonts w:ascii="Times New Roman" w:hAnsi="Times New Roman" w:cs="Times New Roman"/>
          <w:color w:val="000000"/>
          <w:sz w:val="28"/>
          <w:szCs w:val="28"/>
        </w:rPr>
        <w:t>1</w:t>
      </w:r>
      <w:r>
        <w:rPr>
          <w:rFonts w:ascii="Times New Roman" w:hAnsi="Times New Roman" w:cs="Times New Roman"/>
          <w:color w:val="000000"/>
          <w:sz w:val="28"/>
          <w:szCs w:val="28"/>
        </w:rPr>
        <w:t xml:space="preserve">. </w:t>
      </w:r>
    </w:p>
    <w:p w14:paraId="7CF28F19" w14:textId="77777777" w:rsidR="005D224E" w:rsidRDefault="005D224E" w:rsidP="005D224E">
      <w:pPr>
        <w:spacing w:after="0" w:line="360" w:lineRule="auto"/>
        <w:ind w:firstLine="709"/>
        <w:jc w:val="center"/>
        <w:rPr>
          <w:rFonts w:ascii="Times New Roman" w:hAnsi="Times New Roman" w:cs="Times New Roman"/>
          <w:color w:val="000000"/>
          <w:sz w:val="28"/>
          <w:szCs w:val="28"/>
        </w:rPr>
      </w:pPr>
      <w:r>
        <w:rPr>
          <w:rFonts w:ascii="Times New Roman" w:hAnsi="Times New Roman" w:cs="Times New Roman"/>
          <w:color w:val="000000"/>
          <w:sz w:val="28"/>
          <w:szCs w:val="28"/>
        </w:rPr>
        <w:t>Сравнение понятий «идентичные» и «однородные» товары</w:t>
      </w:r>
    </w:p>
    <w:tbl>
      <w:tblPr>
        <w:tblStyle w:val="a8"/>
        <w:tblW w:w="0" w:type="auto"/>
        <w:tblLook w:val="04A0" w:firstRow="1" w:lastRow="0" w:firstColumn="1" w:lastColumn="0" w:noHBand="0" w:noVBand="1"/>
      </w:tblPr>
      <w:tblGrid>
        <w:gridCol w:w="1410"/>
        <w:gridCol w:w="3035"/>
        <w:gridCol w:w="2429"/>
        <w:gridCol w:w="2753"/>
      </w:tblGrid>
      <w:tr w:rsidR="005D224E" w:rsidRPr="006D0454" w14:paraId="137034B0" w14:textId="77777777" w:rsidTr="008B1391">
        <w:trPr>
          <w:trHeight w:val="926"/>
        </w:trPr>
        <w:tc>
          <w:tcPr>
            <w:tcW w:w="0" w:type="auto"/>
          </w:tcPr>
          <w:p w14:paraId="00689D29" w14:textId="77777777" w:rsidR="005D224E" w:rsidRPr="006D0454" w:rsidRDefault="005D224E" w:rsidP="008B1391">
            <w:pPr>
              <w:jc w:val="center"/>
              <w:rPr>
                <w:rFonts w:ascii="Times New Roman" w:hAnsi="Times New Roman" w:cs="Times New Roman"/>
                <w:color w:val="000000"/>
                <w:szCs w:val="28"/>
              </w:rPr>
            </w:pPr>
            <w:r>
              <w:rPr>
                <w:rFonts w:ascii="Times New Roman" w:hAnsi="Times New Roman" w:cs="Times New Roman"/>
                <w:color w:val="000000"/>
                <w:szCs w:val="28"/>
              </w:rPr>
              <w:t>Вид товаров</w:t>
            </w:r>
          </w:p>
        </w:tc>
        <w:tc>
          <w:tcPr>
            <w:tcW w:w="0" w:type="auto"/>
          </w:tcPr>
          <w:p w14:paraId="4861D0BC" w14:textId="77777777" w:rsidR="005D224E" w:rsidRPr="006D0454" w:rsidRDefault="005D224E" w:rsidP="008B1391">
            <w:pPr>
              <w:jc w:val="center"/>
              <w:rPr>
                <w:rFonts w:ascii="Times New Roman" w:hAnsi="Times New Roman" w:cs="Times New Roman"/>
                <w:color w:val="000000"/>
                <w:szCs w:val="28"/>
              </w:rPr>
            </w:pPr>
            <w:r w:rsidRPr="006D0454">
              <w:rPr>
                <w:rFonts w:ascii="Times New Roman" w:hAnsi="Times New Roman" w:cs="Times New Roman"/>
                <w:color w:val="000000"/>
                <w:szCs w:val="28"/>
              </w:rPr>
              <w:t xml:space="preserve">Понятие </w:t>
            </w:r>
          </w:p>
        </w:tc>
        <w:tc>
          <w:tcPr>
            <w:tcW w:w="0" w:type="auto"/>
          </w:tcPr>
          <w:p w14:paraId="6B91A7E5" w14:textId="77777777" w:rsidR="005D224E" w:rsidRPr="006D0454" w:rsidRDefault="005D224E" w:rsidP="008B1391">
            <w:pPr>
              <w:jc w:val="center"/>
              <w:rPr>
                <w:rFonts w:ascii="Times New Roman" w:hAnsi="Times New Roman" w:cs="Times New Roman"/>
                <w:color w:val="000000"/>
                <w:szCs w:val="28"/>
              </w:rPr>
            </w:pPr>
            <w:r w:rsidRPr="006D0454">
              <w:rPr>
                <w:rFonts w:ascii="Times New Roman" w:hAnsi="Times New Roman" w:cs="Times New Roman"/>
                <w:color w:val="000000"/>
                <w:szCs w:val="28"/>
              </w:rPr>
              <w:t>Признаки, которые должны быть схожи с оцениваемыми товарами</w:t>
            </w:r>
          </w:p>
        </w:tc>
        <w:tc>
          <w:tcPr>
            <w:tcW w:w="0" w:type="auto"/>
          </w:tcPr>
          <w:p w14:paraId="4DE2DE1F" w14:textId="77777777" w:rsidR="005D224E" w:rsidRPr="006D0454" w:rsidRDefault="005D224E" w:rsidP="008B1391">
            <w:pPr>
              <w:jc w:val="center"/>
              <w:rPr>
                <w:rFonts w:ascii="Times New Roman" w:hAnsi="Times New Roman" w:cs="Times New Roman"/>
                <w:color w:val="000000"/>
                <w:szCs w:val="28"/>
              </w:rPr>
            </w:pPr>
            <w:r w:rsidRPr="006D0454">
              <w:rPr>
                <w:rFonts w:ascii="Times New Roman" w:hAnsi="Times New Roman" w:cs="Times New Roman"/>
                <w:color w:val="000000"/>
                <w:szCs w:val="28"/>
              </w:rPr>
              <w:t>Пример</w:t>
            </w:r>
          </w:p>
        </w:tc>
      </w:tr>
      <w:tr w:rsidR="005D224E" w:rsidRPr="006D0454" w14:paraId="1E64BFBA" w14:textId="77777777" w:rsidTr="008B1391">
        <w:trPr>
          <w:trHeight w:val="415"/>
        </w:trPr>
        <w:tc>
          <w:tcPr>
            <w:tcW w:w="0" w:type="auto"/>
          </w:tcPr>
          <w:p w14:paraId="52A20D37" w14:textId="77777777" w:rsidR="005D224E" w:rsidRDefault="005D224E" w:rsidP="008B1391">
            <w:pPr>
              <w:jc w:val="both"/>
              <w:rPr>
                <w:rFonts w:ascii="Times New Roman" w:hAnsi="Times New Roman" w:cs="Times New Roman"/>
                <w:color w:val="000000"/>
                <w:szCs w:val="28"/>
              </w:rPr>
            </w:pPr>
            <w:r w:rsidRPr="006D0454">
              <w:rPr>
                <w:rFonts w:ascii="Times New Roman" w:hAnsi="Times New Roman" w:cs="Times New Roman"/>
                <w:color w:val="000000"/>
                <w:szCs w:val="28"/>
              </w:rPr>
              <w:t>Идентичные</w:t>
            </w:r>
          </w:p>
          <w:p w14:paraId="2DE1E98C" w14:textId="77777777" w:rsidR="005D224E" w:rsidRPr="006D0454" w:rsidRDefault="005D224E" w:rsidP="008B1391">
            <w:pPr>
              <w:jc w:val="both"/>
              <w:rPr>
                <w:rFonts w:ascii="Times New Roman" w:hAnsi="Times New Roman" w:cs="Times New Roman"/>
                <w:color w:val="000000"/>
                <w:szCs w:val="28"/>
              </w:rPr>
            </w:pPr>
            <w:r>
              <w:rPr>
                <w:rFonts w:ascii="Times New Roman" w:hAnsi="Times New Roman" w:cs="Times New Roman"/>
                <w:color w:val="000000"/>
                <w:szCs w:val="28"/>
              </w:rPr>
              <w:t>(метод 2)</w:t>
            </w:r>
          </w:p>
        </w:tc>
        <w:tc>
          <w:tcPr>
            <w:tcW w:w="0" w:type="auto"/>
          </w:tcPr>
          <w:p w14:paraId="4EC96F48" w14:textId="77777777" w:rsidR="005D224E" w:rsidRPr="006D0454" w:rsidRDefault="005D224E" w:rsidP="008B1391">
            <w:pPr>
              <w:jc w:val="both"/>
              <w:rPr>
                <w:rFonts w:ascii="Times New Roman" w:hAnsi="Times New Roman" w:cs="Times New Roman"/>
                <w:color w:val="000000"/>
                <w:szCs w:val="28"/>
              </w:rPr>
            </w:pPr>
            <w:r w:rsidRPr="006D0454">
              <w:rPr>
                <w:rFonts w:ascii="Times New Roman" w:hAnsi="Times New Roman" w:cs="Times New Roman"/>
                <w:color w:val="000000"/>
                <w:szCs w:val="28"/>
              </w:rPr>
              <w:t>Товары, одинаковые во всех отноше</w:t>
            </w:r>
            <w:r>
              <w:rPr>
                <w:rFonts w:ascii="Times New Roman" w:hAnsi="Times New Roman" w:cs="Times New Roman"/>
                <w:color w:val="000000"/>
                <w:szCs w:val="28"/>
              </w:rPr>
              <w:t xml:space="preserve">ниях, в том числе по физическим </w:t>
            </w:r>
            <w:r w:rsidRPr="006D0454">
              <w:rPr>
                <w:rFonts w:ascii="Times New Roman" w:hAnsi="Times New Roman" w:cs="Times New Roman"/>
                <w:color w:val="000000"/>
                <w:szCs w:val="28"/>
              </w:rPr>
              <w:t>характеристикам, качеству и репутации (допускаются незначительные расхождения)</w:t>
            </w:r>
          </w:p>
        </w:tc>
        <w:tc>
          <w:tcPr>
            <w:tcW w:w="0" w:type="auto"/>
          </w:tcPr>
          <w:p w14:paraId="20BF0BAD" w14:textId="77777777" w:rsidR="005D224E" w:rsidRPr="006D0454" w:rsidRDefault="005D224E" w:rsidP="008B1391">
            <w:pPr>
              <w:jc w:val="both"/>
              <w:rPr>
                <w:rFonts w:ascii="Times New Roman" w:eastAsia="Times New Roman" w:hAnsi="Times New Roman" w:cs="Times New Roman"/>
                <w:szCs w:val="24"/>
                <w:lang w:eastAsia="ru-RU"/>
              </w:rPr>
            </w:pPr>
            <w:r w:rsidRPr="006D0454">
              <w:rPr>
                <w:rFonts w:ascii="Times New Roman" w:eastAsia="Times New Roman" w:hAnsi="Times New Roman" w:cs="Times New Roman"/>
                <w:szCs w:val="24"/>
                <w:lang w:eastAsia="ru-RU"/>
              </w:rPr>
              <w:t>Физические характеристики,</w:t>
            </w:r>
          </w:p>
          <w:p w14:paraId="5C2FC29D" w14:textId="77777777" w:rsidR="005D224E" w:rsidRPr="008F68AD" w:rsidRDefault="005D224E" w:rsidP="008B1391">
            <w:pPr>
              <w:jc w:val="both"/>
              <w:rPr>
                <w:rFonts w:ascii="Times New Roman" w:eastAsia="Times New Roman" w:hAnsi="Times New Roman" w:cs="Times New Roman"/>
                <w:szCs w:val="24"/>
                <w:lang w:eastAsia="ru-RU"/>
              </w:rPr>
            </w:pPr>
            <w:r w:rsidRPr="006D0454">
              <w:rPr>
                <w:rFonts w:ascii="Times New Roman" w:eastAsia="Times New Roman" w:hAnsi="Times New Roman" w:cs="Times New Roman"/>
                <w:szCs w:val="24"/>
                <w:lang w:eastAsia="ru-RU"/>
              </w:rPr>
              <w:t xml:space="preserve"> Качество и репутации, страна происхождения, производитель</w:t>
            </w:r>
          </w:p>
          <w:p w14:paraId="2F49E7EA" w14:textId="77777777" w:rsidR="005D224E" w:rsidRPr="006D0454" w:rsidRDefault="005D224E" w:rsidP="008B1391">
            <w:pPr>
              <w:jc w:val="both"/>
              <w:rPr>
                <w:rFonts w:ascii="Times New Roman" w:hAnsi="Times New Roman" w:cs="Times New Roman"/>
                <w:color w:val="000000"/>
                <w:szCs w:val="28"/>
              </w:rPr>
            </w:pPr>
          </w:p>
        </w:tc>
        <w:tc>
          <w:tcPr>
            <w:tcW w:w="0" w:type="auto"/>
          </w:tcPr>
          <w:p w14:paraId="4152BE8B" w14:textId="77777777" w:rsidR="005D224E" w:rsidRPr="006D0454" w:rsidRDefault="005D224E" w:rsidP="008B1391">
            <w:pPr>
              <w:jc w:val="both"/>
              <w:rPr>
                <w:rFonts w:ascii="Times New Roman" w:eastAsia="Times New Roman" w:hAnsi="Times New Roman" w:cs="Times New Roman"/>
                <w:szCs w:val="24"/>
                <w:lang w:eastAsia="ru-RU"/>
              </w:rPr>
            </w:pPr>
            <w:r w:rsidRPr="006D0454">
              <w:rPr>
                <w:rFonts w:ascii="Times New Roman" w:eastAsia="Times New Roman" w:hAnsi="Times New Roman" w:cs="Times New Roman"/>
                <w:szCs w:val="24"/>
                <w:lang w:eastAsia="ru-RU"/>
              </w:rPr>
              <w:t>Ввозятся 2 автомобиля, одинаковые во всех отношениях (одной марки, одинаковой комплектации и т.д.), но отличающиеся по цвету, что считается расхождением в отношении внешнего вида.</w:t>
            </w:r>
          </w:p>
        </w:tc>
      </w:tr>
      <w:tr w:rsidR="005D224E" w:rsidRPr="006D0454" w14:paraId="4110DB01" w14:textId="77777777" w:rsidTr="008B1391">
        <w:trPr>
          <w:trHeight w:val="415"/>
        </w:trPr>
        <w:tc>
          <w:tcPr>
            <w:tcW w:w="0" w:type="auto"/>
          </w:tcPr>
          <w:p w14:paraId="1A1C0542" w14:textId="77777777" w:rsidR="005D224E" w:rsidRDefault="005D224E" w:rsidP="008B1391">
            <w:pPr>
              <w:jc w:val="both"/>
              <w:rPr>
                <w:rFonts w:ascii="Times New Roman" w:hAnsi="Times New Roman" w:cs="Times New Roman"/>
                <w:color w:val="000000"/>
                <w:szCs w:val="28"/>
              </w:rPr>
            </w:pPr>
            <w:r w:rsidRPr="006D0454">
              <w:rPr>
                <w:rFonts w:ascii="Times New Roman" w:hAnsi="Times New Roman" w:cs="Times New Roman"/>
                <w:color w:val="000000"/>
                <w:szCs w:val="28"/>
              </w:rPr>
              <w:t>Однородные</w:t>
            </w:r>
          </w:p>
          <w:p w14:paraId="400281C7" w14:textId="77777777" w:rsidR="005D224E" w:rsidRPr="006D0454" w:rsidRDefault="005D224E" w:rsidP="008B1391">
            <w:pPr>
              <w:jc w:val="both"/>
              <w:rPr>
                <w:rFonts w:ascii="Times New Roman" w:hAnsi="Times New Roman" w:cs="Times New Roman"/>
                <w:color w:val="000000"/>
                <w:szCs w:val="28"/>
              </w:rPr>
            </w:pPr>
            <w:r>
              <w:rPr>
                <w:rFonts w:ascii="Times New Roman" w:hAnsi="Times New Roman" w:cs="Times New Roman"/>
                <w:color w:val="000000"/>
                <w:szCs w:val="28"/>
              </w:rPr>
              <w:t>(метод 3)</w:t>
            </w:r>
          </w:p>
        </w:tc>
        <w:tc>
          <w:tcPr>
            <w:tcW w:w="0" w:type="auto"/>
          </w:tcPr>
          <w:p w14:paraId="3B39901A" w14:textId="77777777" w:rsidR="005D224E" w:rsidRPr="006D0454" w:rsidRDefault="005D224E" w:rsidP="008B1391">
            <w:pPr>
              <w:jc w:val="both"/>
              <w:rPr>
                <w:rFonts w:ascii="Times New Roman" w:hAnsi="Times New Roman" w:cs="Times New Roman"/>
                <w:color w:val="000000"/>
                <w:szCs w:val="28"/>
              </w:rPr>
            </w:pPr>
            <w:r w:rsidRPr="006D0454">
              <w:rPr>
                <w:rFonts w:ascii="Times New Roman" w:hAnsi="Times New Roman" w:cs="Times New Roman"/>
                <w:color w:val="000000"/>
                <w:szCs w:val="28"/>
              </w:rPr>
              <w:t>Товары, не являющиеся идентичными во всех отношениях, но имеющие сходные характеристики и состоящие из схожих компонентов, произведенных из таких же материалов, что позволяет им выполнять те же функции, что и оцениваемые (ввозимые) товары, и быть с ними коммерчески взаимозаменяемыми. При определении, являются ли товары однородными, учитываются такие характеристики, как качество, репутация и наличие товарного знака</w:t>
            </w:r>
          </w:p>
        </w:tc>
        <w:tc>
          <w:tcPr>
            <w:tcW w:w="0" w:type="auto"/>
          </w:tcPr>
          <w:p w14:paraId="2A5A02FF" w14:textId="77777777" w:rsidR="005D224E" w:rsidRPr="006D0454" w:rsidRDefault="005D224E" w:rsidP="008B1391">
            <w:pPr>
              <w:jc w:val="both"/>
              <w:rPr>
                <w:rFonts w:ascii="Times New Roman" w:eastAsia="Times New Roman" w:hAnsi="Times New Roman" w:cs="Times New Roman"/>
                <w:szCs w:val="24"/>
                <w:lang w:eastAsia="ru-RU"/>
              </w:rPr>
            </w:pPr>
            <w:r w:rsidRPr="006D0454">
              <w:rPr>
                <w:rFonts w:ascii="Times New Roman" w:eastAsia="Times New Roman" w:hAnsi="Times New Roman" w:cs="Times New Roman"/>
                <w:szCs w:val="24"/>
                <w:lang w:eastAsia="ru-RU"/>
              </w:rPr>
              <w:t>Схожие компоненты; качество, репутация и наличие товарного знака; страна происхождения;</w:t>
            </w:r>
          </w:p>
          <w:p w14:paraId="5A31CA66" w14:textId="77777777" w:rsidR="005D224E" w:rsidRPr="006D0454" w:rsidRDefault="005D224E" w:rsidP="008B1391">
            <w:pPr>
              <w:jc w:val="both"/>
              <w:rPr>
                <w:rFonts w:ascii="Times New Roman" w:eastAsia="Times New Roman" w:hAnsi="Times New Roman" w:cs="Times New Roman"/>
                <w:szCs w:val="24"/>
                <w:lang w:eastAsia="ru-RU"/>
              </w:rPr>
            </w:pPr>
            <w:r w:rsidRPr="006D0454">
              <w:rPr>
                <w:rFonts w:ascii="Times New Roman" w:eastAsia="Times New Roman" w:hAnsi="Times New Roman" w:cs="Times New Roman"/>
                <w:szCs w:val="24"/>
                <w:lang w:eastAsia="ru-RU"/>
              </w:rPr>
              <w:t>производитель;</w:t>
            </w:r>
          </w:p>
          <w:p w14:paraId="432E9C1F" w14:textId="77777777" w:rsidR="005D224E" w:rsidRPr="006D0454" w:rsidRDefault="005D224E" w:rsidP="008B1391">
            <w:pPr>
              <w:jc w:val="both"/>
              <w:rPr>
                <w:rFonts w:ascii="Times New Roman" w:eastAsia="Times New Roman" w:hAnsi="Times New Roman" w:cs="Times New Roman"/>
                <w:szCs w:val="24"/>
                <w:lang w:eastAsia="ru-RU"/>
              </w:rPr>
            </w:pPr>
            <w:r w:rsidRPr="006D0454">
              <w:rPr>
                <w:rFonts w:ascii="Times New Roman" w:eastAsia="Times New Roman" w:hAnsi="Times New Roman" w:cs="Times New Roman"/>
                <w:szCs w:val="24"/>
                <w:lang w:eastAsia="ru-RU"/>
              </w:rPr>
              <w:t>выполняют те же функции, что и оцениваемые товары, и являются коммерчески взаимозаменяемыми;</w:t>
            </w:r>
          </w:p>
          <w:p w14:paraId="6E282EC5" w14:textId="77777777" w:rsidR="005D224E" w:rsidRPr="006D0454" w:rsidRDefault="005D224E" w:rsidP="008B1391">
            <w:pPr>
              <w:jc w:val="both"/>
              <w:rPr>
                <w:rFonts w:ascii="Times New Roman" w:eastAsia="Times New Roman" w:hAnsi="Times New Roman" w:cs="Times New Roman"/>
                <w:szCs w:val="24"/>
                <w:lang w:eastAsia="ru-RU"/>
              </w:rPr>
            </w:pPr>
          </w:p>
        </w:tc>
        <w:tc>
          <w:tcPr>
            <w:tcW w:w="0" w:type="auto"/>
          </w:tcPr>
          <w:p w14:paraId="16972FC8" w14:textId="77777777" w:rsidR="005D224E" w:rsidRPr="006D0454" w:rsidRDefault="005D224E" w:rsidP="008B1391">
            <w:pPr>
              <w:jc w:val="both"/>
              <w:rPr>
                <w:rFonts w:ascii="Times New Roman" w:eastAsia="Times New Roman" w:hAnsi="Times New Roman" w:cs="Times New Roman"/>
                <w:szCs w:val="24"/>
                <w:lang w:eastAsia="ru-RU"/>
              </w:rPr>
            </w:pPr>
            <w:r>
              <w:rPr>
                <w:rFonts w:ascii="Times New Roman" w:eastAsia="Times New Roman" w:hAnsi="Times New Roman" w:cs="Times New Roman"/>
                <w:szCs w:val="24"/>
                <w:lang w:eastAsia="ru-RU"/>
              </w:rPr>
              <w:t>В</w:t>
            </w:r>
            <w:r w:rsidRPr="006D0454">
              <w:rPr>
                <w:rFonts w:ascii="Times New Roman" w:eastAsia="Times New Roman" w:hAnsi="Times New Roman" w:cs="Times New Roman"/>
                <w:szCs w:val="24"/>
                <w:lang w:eastAsia="ru-RU"/>
              </w:rPr>
              <w:t>возятся резиновые покрышки, одинаковые по типу (зимние шипованные), размеру, индексу скорости, индексу нагрузки, изготовленные 2 разными производителями, находящимися в одной стране. При этом каждый производитель имеет свой товарный знак. Однако покрышки, произведенные этими производителями, изготовлены по одному стандарту, имеют одинаковое качество, пользуются одинаковой репутацией на рынке и используются для производства автомобилей</w:t>
            </w:r>
          </w:p>
        </w:tc>
      </w:tr>
    </w:tbl>
    <w:p w14:paraId="3EAE9CEA" w14:textId="77777777" w:rsidR="005D224E" w:rsidRDefault="005D224E" w:rsidP="005D224E">
      <w:pPr>
        <w:spacing w:after="0" w:line="360" w:lineRule="auto"/>
        <w:jc w:val="both"/>
        <w:rPr>
          <w:rFonts w:ascii="Times New Roman" w:hAnsi="Times New Roman" w:cs="Times New Roman"/>
          <w:color w:val="000000"/>
          <w:sz w:val="28"/>
          <w:szCs w:val="28"/>
        </w:rPr>
      </w:pPr>
    </w:p>
    <w:p w14:paraId="4BC697E5" w14:textId="77777777" w:rsidR="005D224E" w:rsidRDefault="005D224E" w:rsidP="005D224E">
      <w:pPr>
        <w:spacing w:after="0" w:line="360" w:lineRule="auto"/>
        <w:ind w:firstLine="709"/>
        <w:jc w:val="both"/>
        <w:rPr>
          <w:rFonts w:ascii="Times New Roman" w:hAnsi="Times New Roman" w:cs="Times New Roman"/>
          <w:color w:val="000000"/>
          <w:sz w:val="28"/>
          <w:szCs w:val="28"/>
        </w:rPr>
      </w:pPr>
      <w:r w:rsidRPr="006C7CF4">
        <w:rPr>
          <w:rFonts w:ascii="Times New Roman" w:hAnsi="Times New Roman" w:cs="Times New Roman"/>
          <w:color w:val="000000"/>
          <w:sz w:val="28"/>
          <w:szCs w:val="28"/>
        </w:rPr>
        <w:t xml:space="preserve">В </w:t>
      </w:r>
      <w:r>
        <w:rPr>
          <w:rFonts w:ascii="Times New Roman" w:hAnsi="Times New Roman" w:cs="Times New Roman"/>
          <w:color w:val="000000"/>
          <w:sz w:val="28"/>
          <w:szCs w:val="28"/>
        </w:rPr>
        <w:t>методе</w:t>
      </w:r>
      <w:r w:rsidRPr="006C7CF4">
        <w:rPr>
          <w:rFonts w:ascii="Times New Roman" w:hAnsi="Times New Roman" w:cs="Times New Roman"/>
          <w:color w:val="000000"/>
          <w:sz w:val="28"/>
          <w:szCs w:val="28"/>
        </w:rPr>
        <w:t xml:space="preserve"> вычитания </w:t>
      </w:r>
      <w:r>
        <w:rPr>
          <w:rFonts w:ascii="Times New Roman" w:hAnsi="Times New Roman" w:cs="Times New Roman"/>
          <w:color w:val="000000"/>
          <w:sz w:val="28"/>
          <w:szCs w:val="28"/>
        </w:rPr>
        <w:t>(метод 4)</w:t>
      </w:r>
      <w:r w:rsidRPr="006C7CF4">
        <w:rPr>
          <w:rFonts w:ascii="Times New Roman" w:hAnsi="Times New Roman" w:cs="Times New Roman"/>
          <w:color w:val="000000"/>
          <w:sz w:val="28"/>
          <w:szCs w:val="28"/>
        </w:rPr>
        <w:t xml:space="preserve"> основой является стоимость, согласно которой ввозимые однородные или идентичные товары были реализованы </w:t>
      </w:r>
      <w:r w:rsidRPr="006C7CF4">
        <w:rPr>
          <w:rFonts w:ascii="Times New Roman" w:hAnsi="Times New Roman" w:cs="Times New Roman"/>
          <w:color w:val="000000"/>
          <w:sz w:val="28"/>
          <w:szCs w:val="28"/>
        </w:rPr>
        <w:lastRenderedPageBreak/>
        <w:t xml:space="preserve">наибольшей партией в неизменном состоянии. При этом из этой суммы необходимо вычесть следующие затраты: </w:t>
      </w:r>
    </w:p>
    <w:p w14:paraId="1CBE12B2" w14:textId="5D3BA614" w:rsidR="005D224E"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6C7CF4">
        <w:rPr>
          <w:rFonts w:ascii="Times New Roman" w:hAnsi="Times New Roman" w:cs="Times New Roman"/>
          <w:color w:val="000000"/>
          <w:sz w:val="28"/>
          <w:szCs w:val="28"/>
        </w:rPr>
        <w:t>таможенные пошлины, налоги, сборы и применяемые в соответствии с законодательством государств-членов иные налоги, подлежащие уплате в связи с ввозом и (или) продажей товаров на территориях государств-членов, включая налоги и сборы субъектов государств-членов</w:t>
      </w:r>
      <w:r>
        <w:rPr>
          <w:rFonts w:ascii="Times New Roman" w:hAnsi="Times New Roman" w:cs="Times New Roman"/>
          <w:color w:val="000000"/>
          <w:sz w:val="28"/>
          <w:szCs w:val="28"/>
        </w:rPr>
        <w:t>,</w:t>
      </w:r>
      <w:r w:rsidRPr="006C7CF4">
        <w:rPr>
          <w:rFonts w:ascii="Times New Roman" w:hAnsi="Times New Roman" w:cs="Times New Roman"/>
          <w:color w:val="000000"/>
          <w:sz w:val="28"/>
          <w:szCs w:val="28"/>
        </w:rPr>
        <w:t xml:space="preserve"> и </w:t>
      </w:r>
      <w:r w:rsidR="00CA3384" w:rsidRPr="006C7CF4">
        <w:rPr>
          <w:rFonts w:ascii="Times New Roman" w:hAnsi="Times New Roman" w:cs="Times New Roman"/>
          <w:color w:val="000000"/>
          <w:sz w:val="28"/>
          <w:szCs w:val="28"/>
        </w:rPr>
        <w:t>местные налоги,</w:t>
      </w:r>
      <w:r w:rsidRPr="006C7CF4">
        <w:rPr>
          <w:rFonts w:ascii="Times New Roman" w:hAnsi="Times New Roman" w:cs="Times New Roman"/>
          <w:color w:val="000000"/>
          <w:sz w:val="28"/>
          <w:szCs w:val="28"/>
        </w:rPr>
        <w:t xml:space="preserve"> и сборы</w:t>
      </w:r>
      <w:r>
        <w:rPr>
          <w:rFonts w:ascii="Times New Roman" w:hAnsi="Times New Roman" w:cs="Times New Roman"/>
          <w:color w:val="000000"/>
          <w:sz w:val="28"/>
          <w:szCs w:val="28"/>
        </w:rPr>
        <w:t>;</w:t>
      </w:r>
    </w:p>
    <w:p w14:paraId="42DFFCB9" w14:textId="77777777" w:rsidR="005D224E"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6C7CF4">
        <w:rPr>
          <w:rFonts w:ascii="Times New Roman" w:hAnsi="Times New Roman" w:cs="Times New Roman"/>
          <w:color w:val="000000"/>
          <w:sz w:val="28"/>
          <w:szCs w:val="28"/>
        </w:rPr>
        <w:t>обычные расходы на осуществленные на таможенн</w:t>
      </w:r>
      <w:r>
        <w:rPr>
          <w:rFonts w:ascii="Times New Roman" w:hAnsi="Times New Roman" w:cs="Times New Roman"/>
          <w:color w:val="000000"/>
          <w:sz w:val="28"/>
          <w:szCs w:val="28"/>
        </w:rPr>
        <w:t>ой территории Союза перевозку</w:t>
      </w:r>
      <w:r w:rsidRPr="006C7CF4">
        <w:rPr>
          <w:rFonts w:ascii="Times New Roman" w:hAnsi="Times New Roman" w:cs="Times New Roman"/>
          <w:color w:val="000000"/>
          <w:sz w:val="28"/>
          <w:szCs w:val="28"/>
        </w:rPr>
        <w:t>, страхование</w:t>
      </w:r>
      <w:r>
        <w:rPr>
          <w:rFonts w:ascii="Times New Roman" w:hAnsi="Times New Roman" w:cs="Times New Roman"/>
          <w:color w:val="000000"/>
          <w:sz w:val="28"/>
          <w:szCs w:val="28"/>
        </w:rPr>
        <w:t>;</w:t>
      </w:r>
    </w:p>
    <w:p w14:paraId="25EF18AE" w14:textId="77777777" w:rsidR="005D224E"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6C7CF4">
        <w:rPr>
          <w:rFonts w:ascii="Times New Roman" w:hAnsi="Times New Roman" w:cs="Times New Roman"/>
          <w:color w:val="000000"/>
          <w:sz w:val="28"/>
          <w:szCs w:val="28"/>
        </w:rPr>
        <w:t>вознаграждение посреднику (агенту), обычно выплачиваемое или подлежащее выплате, либо надбавка к цене, обычно производимая для получения прибыли и покрытия общих расходов (коммерческих и управленческих расходов) в размерах, обычно имеющих место в связи с продажей на таможенной территории Союза товаров того же класса или вида</w:t>
      </w:r>
      <w:r>
        <w:rPr>
          <w:rFonts w:ascii="Times New Roman" w:hAnsi="Times New Roman" w:cs="Times New Roman"/>
          <w:color w:val="000000"/>
          <w:sz w:val="28"/>
          <w:szCs w:val="28"/>
        </w:rPr>
        <w:t>.</w:t>
      </w:r>
    </w:p>
    <w:p w14:paraId="60928C06" w14:textId="77777777" w:rsidR="005D224E" w:rsidRDefault="005D224E" w:rsidP="005D224E">
      <w:pPr>
        <w:spacing w:after="0" w:line="360" w:lineRule="auto"/>
        <w:ind w:firstLine="709"/>
        <w:jc w:val="both"/>
        <w:rPr>
          <w:rFonts w:ascii="Times New Roman" w:hAnsi="Times New Roman" w:cs="Times New Roman"/>
          <w:color w:val="000000"/>
          <w:sz w:val="28"/>
          <w:szCs w:val="28"/>
        </w:rPr>
      </w:pPr>
      <w:r w:rsidRPr="0043765F">
        <w:rPr>
          <w:rFonts w:ascii="Times New Roman" w:hAnsi="Times New Roman" w:cs="Times New Roman"/>
          <w:color w:val="000000"/>
          <w:sz w:val="28"/>
          <w:szCs w:val="28"/>
        </w:rPr>
        <w:t>При решении вопроса о том, прод</w:t>
      </w:r>
      <w:r>
        <w:rPr>
          <w:rFonts w:ascii="Times New Roman" w:hAnsi="Times New Roman" w:cs="Times New Roman"/>
          <w:color w:val="000000"/>
          <w:sz w:val="28"/>
          <w:szCs w:val="28"/>
        </w:rPr>
        <w:t xml:space="preserve">ажи каких товаров (оцениваемых </w:t>
      </w:r>
      <w:r w:rsidRPr="0043765F">
        <w:rPr>
          <w:rFonts w:ascii="Times New Roman" w:hAnsi="Times New Roman" w:cs="Times New Roman"/>
          <w:color w:val="000000"/>
          <w:sz w:val="28"/>
          <w:szCs w:val="28"/>
        </w:rPr>
        <w:t>либо идентичных или однородных товаров) следует рассматривать для определения цены единиц</w:t>
      </w:r>
      <w:r>
        <w:rPr>
          <w:rFonts w:ascii="Times New Roman" w:hAnsi="Times New Roman" w:cs="Times New Roman"/>
          <w:color w:val="000000"/>
          <w:sz w:val="28"/>
          <w:szCs w:val="28"/>
        </w:rPr>
        <w:t xml:space="preserve">ы товара, учитывая следующее: </w:t>
      </w:r>
      <w:r w:rsidRPr="00AE3534">
        <w:rPr>
          <w:rFonts w:ascii="Times New Roman" w:hAnsi="Times New Roman" w:cs="Times New Roman"/>
          <w:color w:val="000000"/>
          <w:sz w:val="28"/>
          <w:szCs w:val="28"/>
        </w:rPr>
        <w:t xml:space="preserve">в качестве основы для определения таможенной стоимости </w:t>
      </w:r>
      <w:r>
        <w:rPr>
          <w:rFonts w:ascii="Times New Roman" w:hAnsi="Times New Roman" w:cs="Times New Roman"/>
          <w:color w:val="000000"/>
          <w:sz w:val="28"/>
          <w:szCs w:val="28"/>
        </w:rPr>
        <w:t>ввозимых т</w:t>
      </w:r>
      <w:r w:rsidRPr="00AE3534">
        <w:rPr>
          <w:rFonts w:ascii="Times New Roman" w:hAnsi="Times New Roman" w:cs="Times New Roman"/>
          <w:color w:val="000000"/>
          <w:sz w:val="28"/>
          <w:szCs w:val="28"/>
        </w:rPr>
        <w:t xml:space="preserve">оваров используется цена единицы товара, по которой продаются оцениваемые товары, либо цена единицы товара, по которой продаются ранее ввезенные идентичные или однородные с </w:t>
      </w:r>
      <w:r>
        <w:rPr>
          <w:rFonts w:ascii="Times New Roman" w:hAnsi="Times New Roman" w:cs="Times New Roman"/>
          <w:color w:val="000000"/>
          <w:sz w:val="28"/>
          <w:szCs w:val="28"/>
        </w:rPr>
        <w:t>ввозимыми</w:t>
      </w:r>
      <w:r w:rsidRPr="00AE3534">
        <w:rPr>
          <w:rFonts w:ascii="Times New Roman" w:hAnsi="Times New Roman" w:cs="Times New Roman"/>
          <w:color w:val="000000"/>
          <w:sz w:val="28"/>
          <w:szCs w:val="28"/>
        </w:rPr>
        <w:t xml:space="preserve"> товары</w:t>
      </w:r>
      <w:r>
        <w:rPr>
          <w:rFonts w:ascii="Times New Roman" w:hAnsi="Times New Roman" w:cs="Times New Roman"/>
          <w:color w:val="000000"/>
          <w:sz w:val="28"/>
          <w:szCs w:val="28"/>
        </w:rPr>
        <w:t>.</w:t>
      </w:r>
    </w:p>
    <w:p w14:paraId="7112A096" w14:textId="76B9B851" w:rsidR="005D224E" w:rsidRPr="00AE3534"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w:t>
      </w:r>
      <w:r w:rsidRPr="00AE3534">
        <w:rPr>
          <w:rFonts w:ascii="Times New Roman" w:hAnsi="Times New Roman" w:cs="Times New Roman"/>
          <w:color w:val="000000"/>
          <w:sz w:val="28"/>
          <w:szCs w:val="28"/>
        </w:rPr>
        <w:t xml:space="preserve">ля целей определения таможенной стоимости товаров по методу 4 принимаются во внимание продажи товаров на таможенной территории </w:t>
      </w:r>
      <w:r>
        <w:rPr>
          <w:rFonts w:ascii="Times New Roman" w:hAnsi="Times New Roman" w:cs="Times New Roman"/>
          <w:color w:val="000000"/>
          <w:sz w:val="28"/>
          <w:szCs w:val="28"/>
        </w:rPr>
        <w:t>С</w:t>
      </w:r>
      <w:r w:rsidRPr="00AE3534">
        <w:rPr>
          <w:rFonts w:ascii="Times New Roman" w:hAnsi="Times New Roman" w:cs="Times New Roman"/>
          <w:color w:val="000000"/>
          <w:sz w:val="28"/>
          <w:szCs w:val="28"/>
        </w:rPr>
        <w:t xml:space="preserve">оюза покупателям первого коммерческого уровня продаж после ввоза товаров на таможенную территорию </w:t>
      </w:r>
      <w:r>
        <w:rPr>
          <w:rFonts w:ascii="Times New Roman" w:hAnsi="Times New Roman" w:cs="Times New Roman"/>
          <w:color w:val="000000"/>
          <w:sz w:val="28"/>
          <w:szCs w:val="28"/>
        </w:rPr>
        <w:t>С</w:t>
      </w:r>
      <w:r w:rsidRPr="00AE3534">
        <w:rPr>
          <w:rFonts w:ascii="Times New Roman" w:hAnsi="Times New Roman" w:cs="Times New Roman"/>
          <w:color w:val="000000"/>
          <w:sz w:val="28"/>
          <w:szCs w:val="28"/>
        </w:rPr>
        <w:t>оюза.</w:t>
      </w:r>
      <w:r w:rsidRPr="004F5AA6">
        <w:rPr>
          <w:rFonts w:ascii="Helvetica" w:hAnsi="Helvetica" w:cs="Helvetica"/>
          <w:color w:val="4D4D4D"/>
          <w:sz w:val="21"/>
          <w:szCs w:val="21"/>
        </w:rPr>
        <w:t xml:space="preserve"> </w:t>
      </w:r>
      <w:r w:rsidRPr="00AE3534">
        <w:rPr>
          <w:rFonts w:ascii="Times New Roman" w:hAnsi="Times New Roman" w:cs="Times New Roman"/>
          <w:color w:val="000000"/>
          <w:sz w:val="28"/>
          <w:szCs w:val="28"/>
        </w:rPr>
        <w:t xml:space="preserve">Покупателями первого коммерческого уровня продаж на таможенной территории </w:t>
      </w:r>
      <w:r>
        <w:rPr>
          <w:rFonts w:ascii="Times New Roman" w:hAnsi="Times New Roman" w:cs="Times New Roman"/>
          <w:color w:val="000000"/>
          <w:sz w:val="28"/>
          <w:szCs w:val="28"/>
        </w:rPr>
        <w:t xml:space="preserve">ЕАЭС </w:t>
      </w:r>
      <w:r w:rsidRPr="00AE3534">
        <w:rPr>
          <w:rFonts w:ascii="Times New Roman" w:hAnsi="Times New Roman" w:cs="Times New Roman"/>
          <w:color w:val="000000"/>
          <w:sz w:val="28"/>
          <w:szCs w:val="28"/>
        </w:rPr>
        <w:t>являются покупатели, приобретающие товары у продавца, являюще</w:t>
      </w:r>
      <w:r>
        <w:rPr>
          <w:rFonts w:ascii="Times New Roman" w:hAnsi="Times New Roman" w:cs="Times New Roman"/>
          <w:color w:val="000000"/>
          <w:sz w:val="28"/>
          <w:szCs w:val="28"/>
        </w:rPr>
        <w:t xml:space="preserve">гося импортером этих товаров. На рисунке </w:t>
      </w:r>
      <w:r w:rsidR="00C16467">
        <w:rPr>
          <w:rFonts w:ascii="Times New Roman" w:hAnsi="Times New Roman" w:cs="Times New Roman"/>
          <w:color w:val="000000"/>
          <w:sz w:val="28"/>
          <w:szCs w:val="28"/>
        </w:rPr>
        <w:t>6</w:t>
      </w:r>
      <w:r>
        <w:rPr>
          <w:rFonts w:ascii="Times New Roman" w:hAnsi="Times New Roman" w:cs="Times New Roman"/>
          <w:color w:val="000000"/>
          <w:sz w:val="28"/>
          <w:szCs w:val="28"/>
        </w:rPr>
        <w:t xml:space="preserve"> представлена схема</w:t>
      </w:r>
      <w:r w:rsidRPr="004F5AA6">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продажи на таможенной территории ЕАЭС,</w:t>
      </w:r>
      <w:r w:rsidRPr="00AE3534">
        <w:rPr>
          <w:rFonts w:ascii="Times New Roman" w:hAnsi="Times New Roman" w:cs="Times New Roman"/>
          <w:color w:val="000000"/>
          <w:sz w:val="28"/>
          <w:szCs w:val="28"/>
        </w:rPr>
        <w:t xml:space="preserve"> где:</w:t>
      </w:r>
    </w:p>
    <w:p w14:paraId="72A79599" w14:textId="77777777" w:rsidR="005D224E" w:rsidRPr="00AE3534" w:rsidRDefault="005D224E" w:rsidP="005D224E">
      <w:pPr>
        <w:tabs>
          <w:tab w:val="right" w:pos="9921"/>
        </w:tabs>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AE3534">
        <w:rPr>
          <w:rFonts w:ascii="Times New Roman" w:hAnsi="Times New Roman" w:cs="Times New Roman"/>
          <w:color w:val="000000"/>
          <w:sz w:val="28"/>
          <w:szCs w:val="28"/>
        </w:rPr>
        <w:t>Э – продавец (экспортер) товаров;</w:t>
      </w:r>
    </w:p>
    <w:p w14:paraId="2222F935" w14:textId="3F6478B9" w:rsidR="005D224E" w:rsidRPr="00AE3534"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AE3534">
        <w:rPr>
          <w:rFonts w:ascii="Times New Roman" w:hAnsi="Times New Roman" w:cs="Times New Roman"/>
          <w:color w:val="000000"/>
          <w:sz w:val="28"/>
          <w:szCs w:val="28"/>
        </w:rPr>
        <w:t xml:space="preserve">И – покупатель (импортер) товаров, который на таможенной территории </w:t>
      </w:r>
      <w:r w:rsidR="00C16467">
        <w:rPr>
          <w:rFonts w:ascii="Times New Roman" w:hAnsi="Times New Roman" w:cs="Times New Roman"/>
          <w:color w:val="000000"/>
          <w:sz w:val="28"/>
          <w:szCs w:val="28"/>
        </w:rPr>
        <w:t>Евразийского экономического</w:t>
      </w:r>
      <w:r w:rsidRPr="00AE3534">
        <w:rPr>
          <w:rFonts w:ascii="Times New Roman" w:hAnsi="Times New Roman" w:cs="Times New Roman"/>
          <w:color w:val="000000"/>
          <w:sz w:val="28"/>
          <w:szCs w:val="28"/>
        </w:rPr>
        <w:t xml:space="preserve"> союза является продавцом товаров;</w:t>
      </w:r>
    </w:p>
    <w:p w14:paraId="32BF2C03" w14:textId="43ED1BDC" w:rsidR="005D224E" w:rsidRPr="00AE3534"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w:t>
      </w:r>
      <w:r w:rsidRPr="00AE3534">
        <w:rPr>
          <w:rFonts w:ascii="Times New Roman" w:hAnsi="Times New Roman" w:cs="Times New Roman"/>
          <w:color w:val="000000"/>
          <w:sz w:val="28"/>
          <w:szCs w:val="28"/>
        </w:rPr>
        <w:t xml:space="preserve">П1 – покупатели, приобретающие товары на таможенной территории </w:t>
      </w:r>
      <w:r w:rsidR="00F02E0E" w:rsidRPr="00F02E0E">
        <w:rPr>
          <w:rFonts w:ascii="Times New Roman" w:hAnsi="Times New Roman" w:cs="Times New Roman"/>
          <w:color w:val="000000"/>
          <w:sz w:val="28"/>
          <w:szCs w:val="28"/>
        </w:rPr>
        <w:t xml:space="preserve">Евразийского экономического союза </w:t>
      </w:r>
      <w:r w:rsidRPr="00AE3534">
        <w:rPr>
          <w:rFonts w:ascii="Times New Roman" w:hAnsi="Times New Roman" w:cs="Times New Roman"/>
          <w:color w:val="000000"/>
          <w:sz w:val="28"/>
          <w:szCs w:val="28"/>
        </w:rPr>
        <w:t>непосредственно у И, то есть покупатели первого коммерческого уровня продаж;</w:t>
      </w:r>
    </w:p>
    <w:p w14:paraId="6B084D0C" w14:textId="1A71C081" w:rsidR="005D224E" w:rsidRPr="00AE3534"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AE3534">
        <w:rPr>
          <w:rFonts w:ascii="Times New Roman" w:hAnsi="Times New Roman" w:cs="Times New Roman"/>
          <w:color w:val="000000"/>
          <w:sz w:val="28"/>
          <w:szCs w:val="28"/>
        </w:rPr>
        <w:t xml:space="preserve">П2 – покупатели, приобретающие товары на таможенной территории </w:t>
      </w:r>
      <w:r w:rsidR="00F02E0E" w:rsidRPr="00F02E0E">
        <w:rPr>
          <w:rFonts w:ascii="Times New Roman" w:hAnsi="Times New Roman" w:cs="Times New Roman"/>
          <w:color w:val="000000"/>
          <w:sz w:val="28"/>
          <w:szCs w:val="28"/>
        </w:rPr>
        <w:t xml:space="preserve">Евразийского экономического союза </w:t>
      </w:r>
      <w:r w:rsidRPr="00AE3534">
        <w:rPr>
          <w:rFonts w:ascii="Times New Roman" w:hAnsi="Times New Roman" w:cs="Times New Roman"/>
          <w:color w:val="000000"/>
          <w:sz w:val="28"/>
          <w:szCs w:val="28"/>
        </w:rPr>
        <w:t>у П1, то есть на следующем коммерческом уровне продаж.</w:t>
      </w:r>
    </w:p>
    <w:p w14:paraId="3880BD05" w14:textId="72C5C82F" w:rsidR="005D224E" w:rsidRDefault="005D224E" w:rsidP="005D224E">
      <w:pPr>
        <w:spacing w:after="0" w:line="360" w:lineRule="auto"/>
        <w:ind w:firstLine="709"/>
        <w:jc w:val="both"/>
        <w:rPr>
          <w:rFonts w:ascii="Times New Roman" w:hAnsi="Times New Roman" w:cs="Times New Roman"/>
          <w:color w:val="000000"/>
          <w:sz w:val="28"/>
          <w:szCs w:val="28"/>
        </w:rPr>
      </w:pPr>
      <w:r w:rsidRPr="00AE3534">
        <w:rPr>
          <w:rFonts w:ascii="Times New Roman" w:hAnsi="Times New Roman" w:cs="Times New Roman"/>
          <w:color w:val="000000"/>
          <w:sz w:val="28"/>
          <w:szCs w:val="28"/>
        </w:rPr>
        <w:t xml:space="preserve">При этом П1 и </w:t>
      </w:r>
      <w:proofErr w:type="spellStart"/>
      <w:r w:rsidRPr="00AE3534">
        <w:rPr>
          <w:rFonts w:ascii="Times New Roman" w:hAnsi="Times New Roman" w:cs="Times New Roman"/>
          <w:color w:val="000000"/>
          <w:sz w:val="28"/>
          <w:szCs w:val="28"/>
        </w:rPr>
        <w:t>И</w:t>
      </w:r>
      <w:proofErr w:type="spellEnd"/>
      <w:r w:rsidRPr="00AE3534">
        <w:rPr>
          <w:rFonts w:ascii="Times New Roman" w:hAnsi="Times New Roman" w:cs="Times New Roman"/>
          <w:color w:val="000000"/>
          <w:sz w:val="28"/>
          <w:szCs w:val="28"/>
        </w:rPr>
        <w:t xml:space="preserve"> не должны являться взаимосвязанными лицами</w:t>
      </w:r>
      <w:r w:rsidR="00C16467">
        <w:rPr>
          <w:rStyle w:val="ad"/>
          <w:rFonts w:ascii="Times New Roman" w:hAnsi="Times New Roman" w:cs="Times New Roman"/>
          <w:color w:val="000000"/>
          <w:sz w:val="28"/>
          <w:szCs w:val="28"/>
        </w:rPr>
        <w:footnoteReference w:id="7"/>
      </w:r>
      <w:r w:rsidRPr="00437710">
        <w:rPr>
          <w:rFonts w:ascii="Times New Roman" w:hAnsi="Times New Roman" w:cs="Times New Roman"/>
          <w:sz w:val="28"/>
          <w:szCs w:val="28"/>
        </w:rPr>
        <w:t>.</w:t>
      </w:r>
    </w:p>
    <w:p w14:paraId="3DE045CE" w14:textId="77777777" w:rsidR="005D224E" w:rsidRDefault="005D224E" w:rsidP="005D224E">
      <w:pPr>
        <w:spacing w:after="0" w:line="360" w:lineRule="auto"/>
        <w:ind w:firstLine="709"/>
        <w:jc w:val="both"/>
        <w:rPr>
          <w:rFonts w:ascii="Times New Roman" w:hAnsi="Times New Roman" w:cs="Times New Roman"/>
          <w:color w:val="000000"/>
          <w:sz w:val="28"/>
          <w:szCs w:val="28"/>
        </w:rPr>
      </w:pPr>
    </w:p>
    <w:p w14:paraId="5FE2B345" w14:textId="41E9A570" w:rsidR="005D224E" w:rsidRDefault="005D224E" w:rsidP="005D224E">
      <w:pPr>
        <w:spacing w:after="0" w:line="360" w:lineRule="auto"/>
        <w:jc w:val="center"/>
        <w:rPr>
          <w:rFonts w:ascii="Times New Roman" w:hAnsi="Times New Roman" w:cs="Times New Roman"/>
          <w:color w:val="000000"/>
          <w:sz w:val="28"/>
          <w:szCs w:val="28"/>
        </w:rPr>
      </w:pPr>
      <w:r>
        <w:rPr>
          <w:rFonts w:ascii="Times New Roman" w:hAnsi="Times New Roman" w:cs="Times New Roman"/>
          <w:noProof/>
          <w:color w:val="000000"/>
          <w:sz w:val="28"/>
          <w:szCs w:val="28"/>
          <w:lang w:eastAsia="ru-RU"/>
        </w:rPr>
        <w:drawing>
          <wp:anchor distT="0" distB="0" distL="114300" distR="114300" simplePos="0" relativeHeight="251665408" behindDoc="0" locked="0" layoutInCell="1" allowOverlap="1" wp14:anchorId="43A238A5" wp14:editId="4163E197">
            <wp:simplePos x="0" y="0"/>
            <wp:positionH relativeFrom="column">
              <wp:posOffset>708660</wp:posOffset>
            </wp:positionH>
            <wp:positionV relativeFrom="paragraph">
              <wp:posOffset>3810</wp:posOffset>
            </wp:positionV>
            <wp:extent cx="5041900" cy="1457325"/>
            <wp:effectExtent l="19050" t="0" r="6350" b="0"/>
            <wp:wrapTopAndBottom/>
            <wp:docPr id="3" name="Рисунок 2" descr="загруженное.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загруженное.png"/>
                    <pic:cNvPicPr/>
                  </pic:nvPicPr>
                  <pic:blipFill>
                    <a:blip r:embed="rId33" cstate="print"/>
                    <a:stretch>
                      <a:fillRect/>
                    </a:stretch>
                  </pic:blipFill>
                  <pic:spPr>
                    <a:xfrm>
                      <a:off x="0" y="0"/>
                      <a:ext cx="5041900" cy="1457325"/>
                    </a:xfrm>
                    <a:prstGeom prst="rect">
                      <a:avLst/>
                    </a:prstGeom>
                  </pic:spPr>
                </pic:pic>
              </a:graphicData>
            </a:graphic>
          </wp:anchor>
        </w:drawing>
      </w:r>
      <w:r>
        <w:rPr>
          <w:rFonts w:ascii="Times New Roman" w:hAnsi="Times New Roman" w:cs="Times New Roman"/>
          <w:color w:val="000000"/>
          <w:sz w:val="28"/>
          <w:szCs w:val="28"/>
        </w:rPr>
        <w:t xml:space="preserve">Рис. </w:t>
      </w:r>
      <w:r w:rsidR="00C16467">
        <w:rPr>
          <w:rFonts w:ascii="Times New Roman" w:hAnsi="Times New Roman" w:cs="Times New Roman"/>
          <w:color w:val="000000"/>
          <w:sz w:val="28"/>
          <w:szCs w:val="28"/>
        </w:rPr>
        <w:t>6</w:t>
      </w:r>
      <w:r>
        <w:rPr>
          <w:rFonts w:ascii="Times New Roman" w:hAnsi="Times New Roman" w:cs="Times New Roman"/>
          <w:color w:val="000000"/>
          <w:sz w:val="28"/>
          <w:szCs w:val="28"/>
        </w:rPr>
        <w:t>. Схема продажи на таможенной территории ЕАЭС</w:t>
      </w:r>
    </w:p>
    <w:p w14:paraId="17044A31" w14:textId="77777777" w:rsidR="005D224E" w:rsidRDefault="005D224E" w:rsidP="005D224E">
      <w:pPr>
        <w:spacing w:after="0" w:line="360" w:lineRule="auto"/>
        <w:jc w:val="center"/>
        <w:rPr>
          <w:rFonts w:ascii="Times New Roman" w:hAnsi="Times New Roman" w:cs="Times New Roman"/>
          <w:color w:val="000000"/>
          <w:sz w:val="28"/>
          <w:szCs w:val="28"/>
        </w:rPr>
      </w:pPr>
    </w:p>
    <w:p w14:paraId="1A9EF166" w14:textId="77777777" w:rsidR="005D224E" w:rsidRPr="00B33DA9"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Метод сложения (метод 5) </w:t>
      </w:r>
      <w:r w:rsidRPr="00B33DA9">
        <w:rPr>
          <w:rFonts w:ascii="Times New Roman" w:hAnsi="Times New Roman" w:cs="Times New Roman"/>
          <w:color w:val="000000"/>
          <w:sz w:val="28"/>
          <w:szCs w:val="28"/>
        </w:rPr>
        <w:t>в качестве основы принимается расчетная стоимость товаров, которая определяется путем сложения:</w:t>
      </w:r>
    </w:p>
    <w:p w14:paraId="5E9FA75A" w14:textId="77777777" w:rsidR="005D224E" w:rsidRPr="00B33DA9" w:rsidRDefault="005D224E" w:rsidP="005D224E">
      <w:pPr>
        <w:spacing w:after="0" w:line="360" w:lineRule="auto"/>
        <w:ind w:firstLine="709"/>
        <w:jc w:val="both"/>
        <w:rPr>
          <w:rFonts w:ascii="Times New Roman" w:hAnsi="Times New Roman" w:cs="Times New Roman"/>
          <w:color w:val="000000"/>
          <w:sz w:val="28"/>
          <w:szCs w:val="28"/>
        </w:rPr>
      </w:pPr>
      <w:bookmarkStart w:id="6" w:name="dst100547"/>
      <w:bookmarkEnd w:id="6"/>
      <w:r>
        <w:rPr>
          <w:rFonts w:ascii="Times New Roman" w:hAnsi="Times New Roman" w:cs="Times New Roman"/>
          <w:color w:val="000000"/>
          <w:sz w:val="28"/>
          <w:szCs w:val="28"/>
        </w:rPr>
        <w:t xml:space="preserve">– </w:t>
      </w:r>
      <w:r w:rsidRPr="00B33DA9">
        <w:rPr>
          <w:rFonts w:ascii="Times New Roman" w:hAnsi="Times New Roman" w:cs="Times New Roman"/>
          <w:color w:val="000000"/>
          <w:sz w:val="28"/>
          <w:szCs w:val="28"/>
        </w:rPr>
        <w:t>расходов на изготовление или приобретение материалов и расходов на производство, а также на иные операции, связанные с производством оцениваемых товаров;</w:t>
      </w:r>
    </w:p>
    <w:p w14:paraId="2DE4049C" w14:textId="77777777" w:rsidR="005D224E" w:rsidRDefault="005D224E" w:rsidP="005D224E">
      <w:pPr>
        <w:spacing w:after="0" w:line="360" w:lineRule="auto"/>
        <w:ind w:firstLine="709"/>
        <w:jc w:val="both"/>
        <w:rPr>
          <w:rFonts w:ascii="Times New Roman" w:hAnsi="Times New Roman" w:cs="Times New Roman"/>
          <w:color w:val="000000"/>
          <w:sz w:val="28"/>
          <w:szCs w:val="28"/>
        </w:rPr>
      </w:pPr>
      <w:bookmarkStart w:id="7" w:name="dst100548"/>
      <w:bookmarkEnd w:id="7"/>
      <w:r>
        <w:rPr>
          <w:rFonts w:ascii="Times New Roman" w:hAnsi="Times New Roman" w:cs="Times New Roman"/>
          <w:color w:val="000000"/>
          <w:sz w:val="28"/>
          <w:szCs w:val="28"/>
        </w:rPr>
        <w:t>–</w:t>
      </w:r>
      <w:r w:rsidRPr="00B33DA9">
        <w:rPr>
          <w:rFonts w:ascii="Times New Roman" w:hAnsi="Times New Roman" w:cs="Times New Roman"/>
          <w:color w:val="000000"/>
          <w:sz w:val="28"/>
          <w:szCs w:val="28"/>
        </w:rPr>
        <w:t xml:space="preserve"> суммы прибыли и общих расходов (коммерческих и управленческих расходов), эквивалентной той величине, которая обычно учитывается при продажах товаров того же класса или вида, что и оцениваемые товары, в стране, в которой товары были проданы для вывоза на таможенную территорию Союза;</w:t>
      </w:r>
    </w:p>
    <w:p w14:paraId="1F919124" w14:textId="77777777" w:rsidR="005D224E"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расходы на транспортировку</w:t>
      </w:r>
      <w:r w:rsidRPr="00B33DA9">
        <w:rPr>
          <w:rFonts w:ascii="Times New Roman" w:hAnsi="Times New Roman" w:cs="Times New Roman"/>
          <w:color w:val="000000"/>
          <w:sz w:val="28"/>
          <w:szCs w:val="28"/>
        </w:rPr>
        <w:t xml:space="preserve"> ввозимых товаров до места прибытия таких товаров</w:t>
      </w:r>
      <w:r>
        <w:rPr>
          <w:rFonts w:ascii="Times New Roman" w:hAnsi="Times New Roman" w:cs="Times New Roman"/>
          <w:color w:val="000000"/>
          <w:sz w:val="28"/>
          <w:szCs w:val="28"/>
        </w:rPr>
        <w:t xml:space="preserve"> на таможенную территорию Союза;</w:t>
      </w:r>
      <w:r w:rsidRPr="00B33DA9">
        <w:rPr>
          <w:rFonts w:ascii="Times New Roman" w:hAnsi="Times New Roman" w:cs="Times New Roman"/>
          <w:color w:val="000000"/>
          <w:sz w:val="28"/>
          <w:szCs w:val="28"/>
        </w:rPr>
        <w:t xml:space="preserve"> </w:t>
      </w:r>
      <w:bookmarkStart w:id="8" w:name="dst100496"/>
      <w:bookmarkEnd w:id="8"/>
    </w:p>
    <w:p w14:paraId="2E79DBF5" w14:textId="27D63CD8" w:rsidR="005D224E"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 </w:t>
      </w:r>
      <w:r w:rsidRPr="00B33DA9">
        <w:rPr>
          <w:rFonts w:ascii="Times New Roman" w:hAnsi="Times New Roman" w:cs="Times New Roman"/>
          <w:color w:val="000000"/>
          <w:sz w:val="28"/>
          <w:szCs w:val="28"/>
        </w:rPr>
        <w:t>расходы на погрузку, разгрузку или перегрузку ввозимых товаров и проведение иных опера</w:t>
      </w:r>
      <w:r>
        <w:rPr>
          <w:rFonts w:ascii="Times New Roman" w:hAnsi="Times New Roman" w:cs="Times New Roman"/>
          <w:color w:val="000000"/>
          <w:sz w:val="28"/>
          <w:szCs w:val="28"/>
        </w:rPr>
        <w:t xml:space="preserve">ций, связанных с их </w:t>
      </w:r>
      <w:r w:rsidR="00CA3384">
        <w:rPr>
          <w:rFonts w:ascii="Times New Roman" w:hAnsi="Times New Roman" w:cs="Times New Roman"/>
          <w:color w:val="000000"/>
          <w:sz w:val="28"/>
          <w:szCs w:val="28"/>
        </w:rPr>
        <w:t xml:space="preserve">перевозкой </w:t>
      </w:r>
      <w:r w:rsidR="00CA3384" w:rsidRPr="00B33DA9">
        <w:rPr>
          <w:rFonts w:ascii="Times New Roman" w:hAnsi="Times New Roman" w:cs="Times New Roman"/>
          <w:color w:val="000000"/>
          <w:sz w:val="28"/>
          <w:szCs w:val="28"/>
        </w:rPr>
        <w:t>до</w:t>
      </w:r>
      <w:r w:rsidRPr="00B33DA9">
        <w:rPr>
          <w:rFonts w:ascii="Times New Roman" w:hAnsi="Times New Roman" w:cs="Times New Roman"/>
          <w:color w:val="000000"/>
          <w:sz w:val="28"/>
          <w:szCs w:val="28"/>
        </w:rPr>
        <w:t xml:space="preserve"> места прибытия таких товаров</w:t>
      </w:r>
      <w:r>
        <w:rPr>
          <w:rFonts w:ascii="Times New Roman" w:hAnsi="Times New Roman" w:cs="Times New Roman"/>
          <w:color w:val="000000"/>
          <w:sz w:val="28"/>
          <w:szCs w:val="28"/>
        </w:rPr>
        <w:t xml:space="preserve"> на таможенную территорию Союза;</w:t>
      </w:r>
      <w:r w:rsidRPr="00B33DA9">
        <w:rPr>
          <w:rFonts w:ascii="Times New Roman" w:hAnsi="Times New Roman" w:cs="Times New Roman"/>
          <w:color w:val="000000"/>
          <w:sz w:val="28"/>
          <w:szCs w:val="28"/>
        </w:rPr>
        <w:t xml:space="preserve"> </w:t>
      </w:r>
      <w:bookmarkStart w:id="9" w:name="dst100497"/>
      <w:bookmarkEnd w:id="9"/>
    </w:p>
    <w:p w14:paraId="13F82398" w14:textId="77777777" w:rsidR="005D224E"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B33DA9">
        <w:rPr>
          <w:rFonts w:ascii="Times New Roman" w:hAnsi="Times New Roman" w:cs="Times New Roman"/>
          <w:color w:val="000000"/>
          <w:sz w:val="28"/>
          <w:szCs w:val="28"/>
        </w:rPr>
        <w:t>расходы на страхование в связи с операциями, указанными в</w:t>
      </w:r>
      <w:r>
        <w:rPr>
          <w:rFonts w:ascii="Times New Roman" w:hAnsi="Times New Roman" w:cs="Times New Roman"/>
          <w:color w:val="000000"/>
          <w:sz w:val="28"/>
          <w:szCs w:val="28"/>
        </w:rPr>
        <w:t>ыше.</w:t>
      </w:r>
    </w:p>
    <w:p w14:paraId="317A2CAD" w14:textId="20DA5DC9" w:rsidR="005D224E"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Как правило, при методе 5 определение таможенная стоимость товаров происходит на основе </w:t>
      </w:r>
      <w:r w:rsidRPr="00A0091E">
        <w:rPr>
          <w:rFonts w:ascii="Times New Roman" w:hAnsi="Times New Roman" w:cs="Times New Roman"/>
          <w:color w:val="000000"/>
          <w:sz w:val="28"/>
          <w:szCs w:val="28"/>
        </w:rPr>
        <w:t>документов и сведений, доступных на таможенной территории</w:t>
      </w:r>
      <w:r>
        <w:rPr>
          <w:rFonts w:ascii="Times New Roman" w:hAnsi="Times New Roman" w:cs="Times New Roman"/>
          <w:color w:val="000000"/>
          <w:sz w:val="28"/>
          <w:szCs w:val="28"/>
        </w:rPr>
        <w:t xml:space="preserve"> С</w:t>
      </w:r>
      <w:r w:rsidRPr="00A0091E">
        <w:rPr>
          <w:rFonts w:ascii="Times New Roman" w:hAnsi="Times New Roman" w:cs="Times New Roman"/>
          <w:color w:val="000000"/>
          <w:sz w:val="28"/>
          <w:szCs w:val="28"/>
        </w:rPr>
        <w:t>оюза</w:t>
      </w:r>
      <w:r>
        <w:rPr>
          <w:rFonts w:ascii="Times New Roman" w:hAnsi="Times New Roman" w:cs="Times New Roman"/>
          <w:color w:val="000000"/>
          <w:sz w:val="28"/>
          <w:szCs w:val="28"/>
        </w:rPr>
        <w:t xml:space="preserve">. </w:t>
      </w:r>
      <w:r w:rsidRPr="00A0091E">
        <w:rPr>
          <w:rFonts w:ascii="Times New Roman" w:hAnsi="Times New Roman" w:cs="Times New Roman"/>
          <w:color w:val="000000"/>
          <w:sz w:val="28"/>
          <w:szCs w:val="28"/>
        </w:rPr>
        <w:t xml:space="preserve">Однако для определения расчетной стоимости необходимо располагать документами и сведениями о расходах на производство </w:t>
      </w:r>
      <w:r>
        <w:rPr>
          <w:rFonts w:ascii="Times New Roman" w:hAnsi="Times New Roman" w:cs="Times New Roman"/>
          <w:color w:val="000000"/>
          <w:sz w:val="28"/>
          <w:szCs w:val="28"/>
        </w:rPr>
        <w:t xml:space="preserve">оцениваемых </w:t>
      </w:r>
      <w:r w:rsidRPr="00A0091E">
        <w:rPr>
          <w:rFonts w:ascii="Times New Roman" w:hAnsi="Times New Roman" w:cs="Times New Roman"/>
          <w:color w:val="000000"/>
          <w:sz w:val="28"/>
          <w:szCs w:val="28"/>
        </w:rPr>
        <w:t xml:space="preserve">товаров, другими документами и сведениями производителя указанных товаров, который находится за пределами таможенной территории </w:t>
      </w:r>
      <w:r>
        <w:rPr>
          <w:rFonts w:ascii="Times New Roman" w:hAnsi="Times New Roman" w:cs="Times New Roman"/>
          <w:color w:val="000000"/>
          <w:sz w:val="28"/>
          <w:szCs w:val="28"/>
        </w:rPr>
        <w:t>С</w:t>
      </w:r>
      <w:r w:rsidRPr="00A0091E">
        <w:rPr>
          <w:rFonts w:ascii="Times New Roman" w:hAnsi="Times New Roman" w:cs="Times New Roman"/>
          <w:color w:val="000000"/>
          <w:sz w:val="28"/>
          <w:szCs w:val="28"/>
        </w:rPr>
        <w:t xml:space="preserve">оюза. </w:t>
      </w:r>
      <w:r>
        <w:rPr>
          <w:rFonts w:ascii="Times New Roman" w:hAnsi="Times New Roman" w:cs="Times New Roman"/>
          <w:color w:val="000000"/>
          <w:sz w:val="28"/>
          <w:szCs w:val="28"/>
        </w:rPr>
        <w:t xml:space="preserve">Так как производитель ввозимых товаров вне </w:t>
      </w:r>
      <w:r w:rsidRPr="00A0091E">
        <w:rPr>
          <w:rFonts w:ascii="Times New Roman" w:hAnsi="Times New Roman" w:cs="Times New Roman"/>
          <w:color w:val="000000"/>
          <w:sz w:val="28"/>
          <w:szCs w:val="28"/>
        </w:rPr>
        <w:t>юрисдикции таможенных органов государств – членов</w:t>
      </w:r>
      <w:r>
        <w:rPr>
          <w:rFonts w:ascii="Times New Roman" w:hAnsi="Times New Roman" w:cs="Times New Roman"/>
          <w:color w:val="000000"/>
          <w:sz w:val="28"/>
          <w:szCs w:val="28"/>
        </w:rPr>
        <w:t xml:space="preserve"> и такие документы </w:t>
      </w:r>
      <w:r w:rsidRPr="00A0091E">
        <w:rPr>
          <w:rFonts w:ascii="Times New Roman" w:hAnsi="Times New Roman" w:cs="Times New Roman"/>
          <w:color w:val="000000"/>
          <w:sz w:val="28"/>
          <w:szCs w:val="28"/>
        </w:rPr>
        <w:t>обычно являются конфиденциальными и производителем не разглашаются, использование метода 5 в основном ограничено случаями, когда покупатель и продавец товаров являются взаимосвязанными лицами и при этом производитель согласен предоставить документы и сведения об издержках производства и при необходимости обеспечить возможность их проверки</w:t>
      </w:r>
      <w:r w:rsidR="00191890">
        <w:rPr>
          <w:rStyle w:val="ad"/>
          <w:rFonts w:ascii="Times New Roman" w:hAnsi="Times New Roman" w:cs="Times New Roman"/>
          <w:color w:val="000000"/>
          <w:sz w:val="28"/>
          <w:szCs w:val="28"/>
        </w:rPr>
        <w:footnoteReference w:id="8"/>
      </w:r>
      <w:r w:rsidRPr="00091569">
        <w:rPr>
          <w:rFonts w:ascii="Times New Roman" w:hAnsi="Times New Roman" w:cs="Times New Roman"/>
          <w:color w:val="000000"/>
          <w:sz w:val="28"/>
          <w:szCs w:val="28"/>
          <w:highlight w:val="yellow"/>
        </w:rPr>
        <w:t>.</w:t>
      </w:r>
    </w:p>
    <w:p w14:paraId="3710B400" w14:textId="77777777" w:rsidR="005D224E"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Применение</w:t>
      </w:r>
      <w:r w:rsidRPr="00636F55">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резервного </w:t>
      </w:r>
      <w:r w:rsidRPr="00636F55">
        <w:rPr>
          <w:rFonts w:ascii="Times New Roman" w:hAnsi="Times New Roman" w:cs="Times New Roman"/>
          <w:color w:val="000000"/>
          <w:sz w:val="28"/>
          <w:szCs w:val="28"/>
        </w:rPr>
        <w:t>метода</w:t>
      </w:r>
      <w:r>
        <w:rPr>
          <w:rFonts w:ascii="Times New Roman" w:hAnsi="Times New Roman" w:cs="Times New Roman"/>
          <w:color w:val="000000"/>
          <w:sz w:val="28"/>
          <w:szCs w:val="28"/>
        </w:rPr>
        <w:t xml:space="preserve"> </w:t>
      </w:r>
      <w:r w:rsidRPr="00636F55">
        <w:rPr>
          <w:rFonts w:ascii="Times New Roman" w:hAnsi="Times New Roman" w:cs="Times New Roman"/>
          <w:color w:val="000000"/>
          <w:sz w:val="28"/>
          <w:szCs w:val="28"/>
        </w:rPr>
        <w:t>(метод 6) возможно лишь тогда, когда таможенная стоимость не может быть определена ни по одному из способов, перечисленных ранее.</w:t>
      </w:r>
      <w:r>
        <w:rPr>
          <w:rFonts w:ascii="Times New Roman" w:hAnsi="Times New Roman" w:cs="Times New Roman"/>
          <w:color w:val="000000"/>
          <w:sz w:val="28"/>
          <w:szCs w:val="28"/>
        </w:rPr>
        <w:t xml:space="preserve"> Данный метод применяется на базе одного из метода (метод 1 – метод 5), однако при этом</w:t>
      </w:r>
      <w:r w:rsidRPr="00D77155">
        <w:rPr>
          <w:rFonts w:ascii="Times New Roman" w:hAnsi="Times New Roman" w:cs="Times New Roman"/>
          <w:color w:val="000000"/>
          <w:sz w:val="28"/>
          <w:szCs w:val="28"/>
        </w:rPr>
        <w:t xml:space="preserve"> </w:t>
      </w:r>
      <w:r w:rsidRPr="00636F55">
        <w:rPr>
          <w:rFonts w:ascii="Times New Roman" w:hAnsi="Times New Roman" w:cs="Times New Roman"/>
          <w:color w:val="000000"/>
          <w:sz w:val="28"/>
          <w:szCs w:val="28"/>
        </w:rPr>
        <w:t>допускается гибкость при их применении.</w:t>
      </w:r>
      <w:r>
        <w:rPr>
          <w:rFonts w:ascii="Times New Roman" w:hAnsi="Times New Roman" w:cs="Times New Roman"/>
          <w:color w:val="000000"/>
          <w:sz w:val="28"/>
          <w:szCs w:val="28"/>
        </w:rPr>
        <w:t xml:space="preserve"> </w:t>
      </w:r>
    </w:p>
    <w:p w14:paraId="16D644F6" w14:textId="77777777" w:rsidR="005D224E" w:rsidRPr="00636F55" w:rsidRDefault="005D224E" w:rsidP="005D224E">
      <w:pPr>
        <w:spacing w:after="0" w:line="360" w:lineRule="auto"/>
        <w:ind w:firstLine="709"/>
        <w:jc w:val="both"/>
        <w:rPr>
          <w:rFonts w:ascii="Times New Roman" w:hAnsi="Times New Roman" w:cs="Times New Roman"/>
          <w:color w:val="000000"/>
          <w:sz w:val="28"/>
          <w:szCs w:val="28"/>
        </w:rPr>
      </w:pPr>
      <w:r w:rsidRPr="00636F55">
        <w:rPr>
          <w:rFonts w:ascii="Times New Roman" w:hAnsi="Times New Roman" w:cs="Times New Roman"/>
          <w:color w:val="000000"/>
          <w:sz w:val="28"/>
          <w:szCs w:val="28"/>
        </w:rPr>
        <w:t>В частности, допускается следующее:</w:t>
      </w:r>
    </w:p>
    <w:p w14:paraId="3520467E" w14:textId="77777777" w:rsidR="005D224E" w:rsidRPr="00636F55" w:rsidRDefault="005D224E" w:rsidP="005D224E">
      <w:pPr>
        <w:spacing w:after="0" w:line="360" w:lineRule="auto"/>
        <w:ind w:firstLine="709"/>
        <w:jc w:val="both"/>
        <w:rPr>
          <w:rFonts w:ascii="Times New Roman" w:hAnsi="Times New Roman" w:cs="Times New Roman"/>
          <w:color w:val="000000"/>
          <w:sz w:val="28"/>
          <w:szCs w:val="28"/>
        </w:rPr>
      </w:pPr>
      <w:bookmarkStart w:id="10" w:name="dst100561"/>
      <w:bookmarkEnd w:id="10"/>
      <w:r>
        <w:rPr>
          <w:rFonts w:ascii="Times New Roman" w:hAnsi="Times New Roman" w:cs="Times New Roman"/>
          <w:color w:val="000000"/>
          <w:sz w:val="28"/>
          <w:szCs w:val="28"/>
        </w:rPr>
        <w:t xml:space="preserve">– </w:t>
      </w:r>
      <w:r w:rsidRPr="00636F55">
        <w:rPr>
          <w:rFonts w:ascii="Times New Roman" w:hAnsi="Times New Roman" w:cs="Times New Roman"/>
          <w:color w:val="000000"/>
          <w:sz w:val="28"/>
          <w:szCs w:val="28"/>
        </w:rPr>
        <w:t>для определения таможенной стоимости оцениваемых товаров за основу может быть принята стоимость сделки с идентичными или однородными товарами, произведенными в иной стране, чем страна, в которой были произведены оцениваемые товары;</w:t>
      </w:r>
    </w:p>
    <w:p w14:paraId="323D214C" w14:textId="77777777" w:rsidR="005D224E" w:rsidRDefault="005D224E" w:rsidP="005D224E">
      <w:pPr>
        <w:spacing w:after="0" w:line="360" w:lineRule="auto"/>
        <w:ind w:firstLine="709"/>
        <w:jc w:val="both"/>
        <w:rPr>
          <w:rFonts w:ascii="Times New Roman" w:hAnsi="Times New Roman" w:cs="Times New Roman"/>
          <w:color w:val="000000"/>
          <w:sz w:val="28"/>
          <w:szCs w:val="28"/>
        </w:rPr>
      </w:pPr>
      <w:bookmarkStart w:id="11" w:name="dst100562"/>
      <w:bookmarkEnd w:id="11"/>
      <w:r>
        <w:rPr>
          <w:rFonts w:ascii="Times New Roman" w:hAnsi="Times New Roman" w:cs="Times New Roman"/>
          <w:color w:val="000000"/>
          <w:sz w:val="28"/>
          <w:szCs w:val="28"/>
        </w:rPr>
        <w:lastRenderedPageBreak/>
        <w:t>–</w:t>
      </w:r>
      <w:r w:rsidRPr="00636F55">
        <w:rPr>
          <w:rFonts w:ascii="Times New Roman" w:hAnsi="Times New Roman" w:cs="Times New Roman"/>
          <w:color w:val="000000"/>
          <w:sz w:val="28"/>
          <w:szCs w:val="28"/>
        </w:rPr>
        <w:t xml:space="preserve"> при определении таможенной стоимости оцениваемых товаров на основе стоимости сделки с идентичными или однородными товарами допускается разумное отклонение от установленно</w:t>
      </w:r>
      <w:r>
        <w:rPr>
          <w:rFonts w:ascii="Times New Roman" w:hAnsi="Times New Roman" w:cs="Times New Roman"/>
          <w:color w:val="000000"/>
          <w:sz w:val="28"/>
          <w:szCs w:val="28"/>
        </w:rPr>
        <w:t>го требования о сроке продажи и ввоза оцениваемых товаров;</w:t>
      </w:r>
      <w:bookmarkStart w:id="12" w:name="dst100563"/>
      <w:bookmarkEnd w:id="12"/>
    </w:p>
    <w:p w14:paraId="6E332C0F" w14:textId="77777777" w:rsidR="005D224E" w:rsidRPr="00636F55"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r w:rsidRPr="00636F55">
        <w:rPr>
          <w:rFonts w:ascii="Times New Roman" w:hAnsi="Times New Roman" w:cs="Times New Roman"/>
          <w:color w:val="000000"/>
          <w:sz w:val="28"/>
          <w:szCs w:val="28"/>
        </w:rPr>
        <w:t>для определения таможенной стоимости оцениваемых товаров за основу может быть принята таможенная стоимость идентичных оцениваемым или однородных с оцениваемыми товаров, определенная в соответствии с</w:t>
      </w:r>
      <w:r>
        <w:rPr>
          <w:rFonts w:ascii="Times New Roman" w:hAnsi="Times New Roman" w:cs="Times New Roman"/>
          <w:color w:val="000000"/>
          <w:sz w:val="28"/>
          <w:szCs w:val="28"/>
        </w:rPr>
        <w:t xml:space="preserve"> методом 4 </w:t>
      </w:r>
      <w:r w:rsidRPr="00636F55">
        <w:rPr>
          <w:rFonts w:ascii="Times New Roman" w:hAnsi="Times New Roman" w:cs="Times New Roman"/>
          <w:color w:val="000000"/>
          <w:sz w:val="28"/>
          <w:szCs w:val="28"/>
        </w:rPr>
        <w:t>и</w:t>
      </w:r>
      <w:r>
        <w:rPr>
          <w:rFonts w:ascii="Times New Roman" w:hAnsi="Times New Roman" w:cs="Times New Roman"/>
          <w:color w:val="000000"/>
          <w:sz w:val="28"/>
          <w:szCs w:val="28"/>
        </w:rPr>
        <w:t xml:space="preserve"> методом 5</w:t>
      </w:r>
      <w:r w:rsidRPr="00636F55">
        <w:rPr>
          <w:rFonts w:ascii="Times New Roman" w:hAnsi="Times New Roman" w:cs="Times New Roman"/>
          <w:color w:val="000000"/>
          <w:sz w:val="28"/>
          <w:szCs w:val="28"/>
        </w:rPr>
        <w:t>;</w:t>
      </w:r>
    </w:p>
    <w:p w14:paraId="3C2E3848" w14:textId="6388AB48" w:rsidR="005D224E" w:rsidRDefault="005D224E" w:rsidP="005D224E">
      <w:pPr>
        <w:spacing w:after="0" w:line="360" w:lineRule="auto"/>
        <w:ind w:firstLine="709"/>
        <w:jc w:val="both"/>
        <w:rPr>
          <w:rFonts w:ascii="Times New Roman" w:hAnsi="Times New Roman" w:cs="Times New Roman"/>
          <w:color w:val="000000"/>
          <w:sz w:val="28"/>
          <w:szCs w:val="28"/>
        </w:rPr>
      </w:pPr>
      <w:bookmarkStart w:id="13" w:name="dst100564"/>
      <w:bookmarkEnd w:id="13"/>
      <w:r>
        <w:rPr>
          <w:rFonts w:ascii="Times New Roman" w:hAnsi="Times New Roman" w:cs="Times New Roman"/>
          <w:color w:val="000000"/>
          <w:sz w:val="28"/>
          <w:szCs w:val="28"/>
        </w:rPr>
        <w:t>–</w:t>
      </w:r>
      <w:r w:rsidRPr="00636F55">
        <w:rPr>
          <w:rFonts w:ascii="Times New Roman" w:hAnsi="Times New Roman" w:cs="Times New Roman"/>
          <w:color w:val="000000"/>
          <w:sz w:val="28"/>
          <w:szCs w:val="28"/>
        </w:rPr>
        <w:t xml:space="preserve"> при определении таможенной стоимости оцениваемых товаров в соответствии </w:t>
      </w:r>
      <w:r>
        <w:rPr>
          <w:rFonts w:ascii="Times New Roman" w:hAnsi="Times New Roman" w:cs="Times New Roman"/>
          <w:color w:val="000000"/>
          <w:sz w:val="28"/>
          <w:szCs w:val="28"/>
        </w:rPr>
        <w:t>с методом 4</w:t>
      </w:r>
      <w:r w:rsidRPr="00636F55">
        <w:rPr>
          <w:rFonts w:ascii="Times New Roman" w:hAnsi="Times New Roman" w:cs="Times New Roman"/>
          <w:color w:val="000000"/>
          <w:sz w:val="28"/>
          <w:szCs w:val="28"/>
        </w:rPr>
        <w:t xml:space="preserve"> допускается отклонение от срока</w:t>
      </w:r>
      <w:r w:rsidRPr="00E57EDA">
        <w:rPr>
          <w:rFonts w:ascii="Times New Roman" w:hAnsi="Times New Roman" w:cs="Times New Roman"/>
          <w:color w:val="000000"/>
          <w:sz w:val="28"/>
          <w:szCs w:val="28"/>
        </w:rPr>
        <w:t xml:space="preserve"> </w:t>
      </w:r>
      <w:r>
        <w:rPr>
          <w:rFonts w:ascii="Times New Roman" w:hAnsi="Times New Roman" w:cs="Times New Roman"/>
          <w:color w:val="000000"/>
          <w:sz w:val="28"/>
          <w:szCs w:val="28"/>
        </w:rPr>
        <w:t>продажи и ввоза оцениваемых товаров</w:t>
      </w:r>
      <w:r w:rsidR="001B1A00">
        <w:rPr>
          <w:rStyle w:val="ad"/>
          <w:rFonts w:ascii="Times New Roman" w:hAnsi="Times New Roman" w:cs="Times New Roman"/>
          <w:color w:val="000000"/>
          <w:sz w:val="28"/>
          <w:szCs w:val="28"/>
        </w:rPr>
        <w:footnoteReference w:id="9"/>
      </w:r>
      <w:r>
        <w:rPr>
          <w:rFonts w:ascii="Times New Roman" w:hAnsi="Times New Roman" w:cs="Times New Roman"/>
          <w:color w:val="000000"/>
          <w:sz w:val="28"/>
          <w:szCs w:val="28"/>
        </w:rPr>
        <w:t>.</w:t>
      </w:r>
    </w:p>
    <w:p w14:paraId="5431ED4F" w14:textId="098D46A7" w:rsidR="005D224E"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При возможности для применения нескольких методов необходимо придерживаться</w:t>
      </w:r>
      <w:r w:rsidRPr="00636F55">
        <w:rPr>
          <w:rFonts w:ascii="Times New Roman" w:hAnsi="Times New Roman" w:cs="Times New Roman"/>
          <w:color w:val="000000"/>
          <w:sz w:val="28"/>
          <w:szCs w:val="28"/>
        </w:rPr>
        <w:t xml:space="preserve"> последовательности их применения.</w:t>
      </w:r>
      <w:r>
        <w:rPr>
          <w:rFonts w:ascii="Times New Roman" w:hAnsi="Times New Roman" w:cs="Times New Roman"/>
          <w:color w:val="000000"/>
          <w:sz w:val="28"/>
          <w:szCs w:val="28"/>
        </w:rPr>
        <w:t xml:space="preserve"> Таможенная стоимость, определенная по резервному методу </w:t>
      </w:r>
      <w:bookmarkStart w:id="14" w:name="dst100566"/>
      <w:bookmarkEnd w:id="14"/>
      <w:r w:rsidR="008E25E9" w:rsidRPr="00636F55">
        <w:rPr>
          <w:rFonts w:ascii="Times New Roman" w:hAnsi="Times New Roman" w:cs="Times New Roman"/>
          <w:color w:val="000000"/>
          <w:sz w:val="28"/>
          <w:szCs w:val="28"/>
        </w:rPr>
        <w:t>в максимально возможной степени,</w:t>
      </w:r>
      <w:r w:rsidRPr="00636F55">
        <w:rPr>
          <w:rFonts w:ascii="Times New Roman" w:hAnsi="Times New Roman" w:cs="Times New Roman"/>
          <w:color w:val="000000"/>
          <w:sz w:val="28"/>
          <w:szCs w:val="28"/>
        </w:rPr>
        <w:t xml:space="preserve"> должна основываться на ранее определенных таможенных стоимостях.</w:t>
      </w:r>
    </w:p>
    <w:p w14:paraId="1A69D0A9" w14:textId="5A8DCDA9" w:rsidR="005D224E"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Для вывозимых с таможенной территории ЕАЭС товаров применяются те же методы, что и для ввозимых товаров, за исключением метода вычитания (метод 4).</w:t>
      </w:r>
    </w:p>
    <w:p w14:paraId="28C5F7D7" w14:textId="60E8FFA9" w:rsidR="005D224E" w:rsidRDefault="005D224E" w:rsidP="005D224E">
      <w:pPr>
        <w:spacing w:after="0" w:line="360" w:lineRule="auto"/>
        <w:ind w:firstLine="709"/>
        <w:jc w:val="right"/>
        <w:rPr>
          <w:rFonts w:ascii="Times New Roman" w:hAnsi="Times New Roman" w:cs="Times New Roman"/>
          <w:color w:val="000000"/>
          <w:sz w:val="28"/>
          <w:szCs w:val="28"/>
        </w:rPr>
      </w:pPr>
      <w:r>
        <w:rPr>
          <w:rFonts w:ascii="Times New Roman" w:hAnsi="Times New Roman" w:cs="Times New Roman"/>
          <w:color w:val="000000"/>
          <w:sz w:val="28"/>
          <w:szCs w:val="28"/>
        </w:rPr>
        <w:t>Таблица 2.</w:t>
      </w:r>
    </w:p>
    <w:p w14:paraId="4DC1BE8F" w14:textId="77777777" w:rsidR="005D224E" w:rsidRDefault="005D224E" w:rsidP="005D224E">
      <w:pPr>
        <w:spacing w:after="0" w:line="240" w:lineRule="auto"/>
        <w:jc w:val="center"/>
        <w:rPr>
          <w:rFonts w:ascii="Times New Roman" w:hAnsi="Times New Roman" w:cs="Times New Roman"/>
          <w:color w:val="000000"/>
          <w:sz w:val="28"/>
          <w:szCs w:val="28"/>
        </w:rPr>
      </w:pPr>
      <w:r>
        <w:rPr>
          <w:rFonts w:ascii="Times New Roman" w:hAnsi="Times New Roman" w:cs="Times New Roman"/>
          <w:color w:val="000000"/>
          <w:sz w:val="28"/>
          <w:szCs w:val="28"/>
        </w:rPr>
        <w:t>Сравнительный анализ применения методов определения таможенной стоимости ввозимых и вывозимых товаров</w:t>
      </w:r>
    </w:p>
    <w:p w14:paraId="1CB84A6B" w14:textId="77777777" w:rsidR="005D224E" w:rsidRDefault="005D224E" w:rsidP="005D224E">
      <w:pPr>
        <w:spacing w:after="0" w:line="240" w:lineRule="auto"/>
        <w:jc w:val="center"/>
        <w:rPr>
          <w:rFonts w:ascii="Times New Roman" w:hAnsi="Times New Roman" w:cs="Times New Roman"/>
          <w:color w:val="000000"/>
          <w:sz w:val="28"/>
          <w:szCs w:val="28"/>
        </w:rPr>
      </w:pPr>
    </w:p>
    <w:tbl>
      <w:tblPr>
        <w:tblStyle w:val="a8"/>
        <w:tblW w:w="0" w:type="auto"/>
        <w:tblLook w:val="04A0" w:firstRow="1" w:lastRow="0" w:firstColumn="1" w:lastColumn="0" w:noHBand="0" w:noVBand="1"/>
      </w:tblPr>
      <w:tblGrid>
        <w:gridCol w:w="3176"/>
        <w:gridCol w:w="3674"/>
        <w:gridCol w:w="2777"/>
      </w:tblGrid>
      <w:tr w:rsidR="005D224E" w:rsidRPr="00F35103" w14:paraId="1E123B02" w14:textId="77777777" w:rsidTr="008B1391">
        <w:tc>
          <w:tcPr>
            <w:tcW w:w="0" w:type="auto"/>
          </w:tcPr>
          <w:p w14:paraId="650BB5DF" w14:textId="77777777" w:rsidR="005D224E" w:rsidRPr="00F35103" w:rsidRDefault="005D224E" w:rsidP="008B1391">
            <w:pPr>
              <w:jc w:val="center"/>
              <w:rPr>
                <w:rFonts w:ascii="Times New Roman" w:hAnsi="Times New Roman" w:cs="Times New Roman"/>
                <w:color w:val="000000"/>
                <w:sz w:val="24"/>
                <w:szCs w:val="24"/>
              </w:rPr>
            </w:pPr>
            <w:r w:rsidRPr="00F35103">
              <w:rPr>
                <w:rFonts w:ascii="Times New Roman" w:hAnsi="Times New Roman" w:cs="Times New Roman"/>
                <w:color w:val="000000"/>
                <w:sz w:val="24"/>
                <w:szCs w:val="24"/>
              </w:rPr>
              <w:t>Методы определения таможенной стоимости</w:t>
            </w:r>
          </w:p>
        </w:tc>
        <w:tc>
          <w:tcPr>
            <w:tcW w:w="0" w:type="auto"/>
          </w:tcPr>
          <w:p w14:paraId="0D4D2566" w14:textId="77777777" w:rsidR="005D224E" w:rsidRPr="00F35103" w:rsidRDefault="005D224E" w:rsidP="008B1391">
            <w:pPr>
              <w:jc w:val="center"/>
              <w:rPr>
                <w:rFonts w:ascii="Times New Roman" w:hAnsi="Times New Roman" w:cs="Times New Roman"/>
                <w:color w:val="000000"/>
                <w:sz w:val="24"/>
                <w:szCs w:val="24"/>
              </w:rPr>
            </w:pPr>
            <w:r w:rsidRPr="00F35103">
              <w:rPr>
                <w:rFonts w:ascii="Times New Roman" w:hAnsi="Times New Roman" w:cs="Times New Roman"/>
                <w:color w:val="000000"/>
                <w:sz w:val="24"/>
                <w:szCs w:val="24"/>
              </w:rPr>
              <w:t>Ввозимые товары</w:t>
            </w:r>
          </w:p>
        </w:tc>
        <w:tc>
          <w:tcPr>
            <w:tcW w:w="0" w:type="auto"/>
          </w:tcPr>
          <w:p w14:paraId="63A0776B" w14:textId="77777777" w:rsidR="005D224E" w:rsidRPr="00F35103" w:rsidRDefault="005D224E" w:rsidP="008B1391">
            <w:pPr>
              <w:jc w:val="center"/>
              <w:rPr>
                <w:rFonts w:ascii="Times New Roman" w:hAnsi="Times New Roman" w:cs="Times New Roman"/>
                <w:color w:val="000000"/>
                <w:sz w:val="24"/>
                <w:szCs w:val="24"/>
              </w:rPr>
            </w:pPr>
            <w:r w:rsidRPr="00F35103">
              <w:rPr>
                <w:rFonts w:ascii="Times New Roman" w:hAnsi="Times New Roman" w:cs="Times New Roman"/>
                <w:color w:val="000000"/>
                <w:sz w:val="24"/>
                <w:szCs w:val="24"/>
              </w:rPr>
              <w:t>Вывозимые товары</w:t>
            </w:r>
          </w:p>
        </w:tc>
      </w:tr>
      <w:tr w:rsidR="005D224E" w:rsidRPr="00F35103" w14:paraId="387BBBA3" w14:textId="77777777" w:rsidTr="008B1391">
        <w:tc>
          <w:tcPr>
            <w:tcW w:w="0" w:type="auto"/>
          </w:tcPr>
          <w:p w14:paraId="3C6E8E39" w14:textId="77777777" w:rsidR="005D224E" w:rsidRPr="00F35103" w:rsidRDefault="005D224E" w:rsidP="008B1391">
            <w:pPr>
              <w:jc w:val="center"/>
              <w:rPr>
                <w:rFonts w:ascii="Times New Roman" w:hAnsi="Times New Roman" w:cs="Times New Roman"/>
                <w:color w:val="000000"/>
                <w:sz w:val="24"/>
                <w:szCs w:val="24"/>
              </w:rPr>
            </w:pPr>
            <w:r>
              <w:rPr>
                <w:rFonts w:ascii="Times New Roman" w:hAnsi="Times New Roman" w:cs="Times New Roman"/>
                <w:color w:val="000000"/>
                <w:sz w:val="24"/>
                <w:szCs w:val="24"/>
              </w:rPr>
              <w:t>Метод 1</w:t>
            </w:r>
          </w:p>
        </w:tc>
        <w:tc>
          <w:tcPr>
            <w:tcW w:w="0" w:type="auto"/>
          </w:tcPr>
          <w:p w14:paraId="7852FA05" w14:textId="77777777" w:rsidR="005D224E" w:rsidRPr="00F35103" w:rsidRDefault="005D224E" w:rsidP="008B1391">
            <w:pPr>
              <w:jc w:val="center"/>
              <w:rPr>
                <w:rFonts w:ascii="Times New Roman" w:hAnsi="Times New Roman" w:cs="Times New Roman"/>
                <w:color w:val="000000"/>
                <w:sz w:val="24"/>
                <w:szCs w:val="24"/>
              </w:rPr>
            </w:pPr>
            <w:r>
              <w:rPr>
                <w:rFonts w:ascii="Times New Roman" w:hAnsi="Times New Roman" w:cs="Times New Roman"/>
                <w:color w:val="000000"/>
                <w:sz w:val="24"/>
                <w:szCs w:val="24"/>
              </w:rPr>
              <w:t>Дополнительных начислений значительно больше</w:t>
            </w:r>
          </w:p>
        </w:tc>
        <w:tc>
          <w:tcPr>
            <w:tcW w:w="0" w:type="auto"/>
          </w:tcPr>
          <w:p w14:paraId="224E7F70" w14:textId="77777777" w:rsidR="005D224E" w:rsidRPr="00F35103" w:rsidRDefault="005D224E" w:rsidP="008B1391">
            <w:pPr>
              <w:jc w:val="center"/>
              <w:rPr>
                <w:rFonts w:ascii="Times New Roman" w:hAnsi="Times New Roman" w:cs="Times New Roman"/>
                <w:color w:val="000000"/>
                <w:sz w:val="24"/>
                <w:szCs w:val="24"/>
              </w:rPr>
            </w:pPr>
            <w:r>
              <w:rPr>
                <w:rFonts w:ascii="Times New Roman" w:hAnsi="Times New Roman" w:cs="Times New Roman"/>
                <w:color w:val="000000"/>
                <w:sz w:val="24"/>
                <w:szCs w:val="24"/>
              </w:rPr>
              <w:t>Отсутствуют вычеты из цены сделки</w:t>
            </w:r>
          </w:p>
        </w:tc>
      </w:tr>
      <w:tr w:rsidR="005D224E" w:rsidRPr="00F35103" w14:paraId="11D5348D" w14:textId="77777777" w:rsidTr="008B1391">
        <w:tc>
          <w:tcPr>
            <w:tcW w:w="0" w:type="auto"/>
          </w:tcPr>
          <w:p w14:paraId="7DDA2EC8" w14:textId="77777777" w:rsidR="005D224E" w:rsidRPr="00F35103" w:rsidRDefault="005D224E" w:rsidP="008B1391">
            <w:pPr>
              <w:jc w:val="center"/>
              <w:rPr>
                <w:rFonts w:ascii="Times New Roman" w:hAnsi="Times New Roman" w:cs="Times New Roman"/>
                <w:color w:val="000000"/>
                <w:sz w:val="24"/>
                <w:szCs w:val="24"/>
              </w:rPr>
            </w:pPr>
            <w:r>
              <w:rPr>
                <w:rFonts w:ascii="Times New Roman" w:hAnsi="Times New Roman" w:cs="Times New Roman"/>
                <w:color w:val="000000"/>
                <w:sz w:val="24"/>
                <w:szCs w:val="24"/>
              </w:rPr>
              <w:t>Метод 2</w:t>
            </w:r>
          </w:p>
        </w:tc>
        <w:tc>
          <w:tcPr>
            <w:tcW w:w="0" w:type="auto"/>
            <w:gridSpan w:val="2"/>
          </w:tcPr>
          <w:p w14:paraId="3641B54E" w14:textId="77777777" w:rsidR="005D224E" w:rsidRPr="00F35103" w:rsidRDefault="005D224E" w:rsidP="008B1391">
            <w:pPr>
              <w:jc w:val="center"/>
              <w:rPr>
                <w:rFonts w:ascii="Times New Roman" w:hAnsi="Times New Roman" w:cs="Times New Roman"/>
                <w:color w:val="000000"/>
                <w:sz w:val="24"/>
                <w:szCs w:val="24"/>
              </w:rPr>
            </w:pPr>
            <w:r>
              <w:rPr>
                <w:rFonts w:ascii="Times New Roman" w:hAnsi="Times New Roman" w:cs="Times New Roman"/>
                <w:color w:val="000000"/>
                <w:sz w:val="24"/>
                <w:szCs w:val="24"/>
              </w:rPr>
              <w:t xml:space="preserve">Различий нет </w:t>
            </w:r>
          </w:p>
        </w:tc>
      </w:tr>
      <w:tr w:rsidR="005D224E" w:rsidRPr="00F35103" w14:paraId="00233E3F" w14:textId="77777777" w:rsidTr="008B1391">
        <w:tc>
          <w:tcPr>
            <w:tcW w:w="0" w:type="auto"/>
          </w:tcPr>
          <w:p w14:paraId="3B4DB614" w14:textId="77777777" w:rsidR="005D224E" w:rsidRPr="00F35103" w:rsidRDefault="005D224E" w:rsidP="008B1391">
            <w:pPr>
              <w:jc w:val="center"/>
              <w:rPr>
                <w:rFonts w:ascii="Times New Roman" w:hAnsi="Times New Roman" w:cs="Times New Roman"/>
                <w:color w:val="000000"/>
                <w:sz w:val="24"/>
                <w:szCs w:val="24"/>
              </w:rPr>
            </w:pPr>
            <w:r>
              <w:rPr>
                <w:rFonts w:ascii="Times New Roman" w:hAnsi="Times New Roman" w:cs="Times New Roman"/>
                <w:color w:val="000000"/>
                <w:sz w:val="24"/>
                <w:szCs w:val="24"/>
              </w:rPr>
              <w:t>Метод 3</w:t>
            </w:r>
          </w:p>
        </w:tc>
        <w:tc>
          <w:tcPr>
            <w:tcW w:w="0" w:type="auto"/>
            <w:gridSpan w:val="2"/>
          </w:tcPr>
          <w:p w14:paraId="2F4EE13A" w14:textId="77777777" w:rsidR="005D224E" w:rsidRPr="00F35103" w:rsidRDefault="005D224E" w:rsidP="008B1391">
            <w:pPr>
              <w:jc w:val="center"/>
              <w:rPr>
                <w:rFonts w:ascii="Times New Roman" w:hAnsi="Times New Roman" w:cs="Times New Roman"/>
                <w:color w:val="000000"/>
                <w:sz w:val="24"/>
                <w:szCs w:val="24"/>
              </w:rPr>
            </w:pPr>
            <w:r>
              <w:rPr>
                <w:rFonts w:ascii="Times New Roman" w:hAnsi="Times New Roman" w:cs="Times New Roman"/>
                <w:color w:val="000000"/>
                <w:sz w:val="24"/>
                <w:szCs w:val="24"/>
              </w:rPr>
              <w:t>Различий нет</w:t>
            </w:r>
          </w:p>
        </w:tc>
      </w:tr>
      <w:tr w:rsidR="005D224E" w:rsidRPr="00F35103" w14:paraId="63CC237D" w14:textId="77777777" w:rsidTr="008B1391">
        <w:tc>
          <w:tcPr>
            <w:tcW w:w="0" w:type="auto"/>
          </w:tcPr>
          <w:p w14:paraId="6317B7FF" w14:textId="77777777" w:rsidR="005D224E" w:rsidRPr="00F35103" w:rsidRDefault="005D224E" w:rsidP="008B1391">
            <w:pPr>
              <w:jc w:val="center"/>
              <w:rPr>
                <w:rFonts w:ascii="Times New Roman" w:hAnsi="Times New Roman" w:cs="Times New Roman"/>
                <w:color w:val="000000"/>
                <w:sz w:val="24"/>
                <w:szCs w:val="24"/>
              </w:rPr>
            </w:pPr>
            <w:r>
              <w:rPr>
                <w:rFonts w:ascii="Times New Roman" w:hAnsi="Times New Roman" w:cs="Times New Roman"/>
                <w:color w:val="000000"/>
                <w:sz w:val="24"/>
                <w:szCs w:val="24"/>
              </w:rPr>
              <w:t>Метод 4</w:t>
            </w:r>
          </w:p>
        </w:tc>
        <w:tc>
          <w:tcPr>
            <w:tcW w:w="0" w:type="auto"/>
          </w:tcPr>
          <w:p w14:paraId="1FFAABEC" w14:textId="77777777" w:rsidR="005D224E" w:rsidRPr="00F35103" w:rsidRDefault="005D224E" w:rsidP="008B1391">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Применяется</w:t>
            </w:r>
          </w:p>
        </w:tc>
        <w:tc>
          <w:tcPr>
            <w:tcW w:w="0" w:type="auto"/>
          </w:tcPr>
          <w:p w14:paraId="6EA24F61" w14:textId="77777777" w:rsidR="005D224E" w:rsidRPr="00F35103" w:rsidRDefault="005D224E" w:rsidP="008B1391">
            <w:pPr>
              <w:jc w:val="center"/>
              <w:rPr>
                <w:rFonts w:ascii="Times New Roman" w:hAnsi="Times New Roman" w:cs="Times New Roman"/>
                <w:color w:val="000000"/>
                <w:sz w:val="24"/>
                <w:szCs w:val="24"/>
              </w:rPr>
            </w:pPr>
            <w:r>
              <w:rPr>
                <w:rFonts w:ascii="Times New Roman" w:hAnsi="Times New Roman" w:cs="Times New Roman"/>
                <w:color w:val="000000"/>
                <w:sz w:val="24"/>
                <w:szCs w:val="24"/>
              </w:rPr>
              <w:t>Не применяется</w:t>
            </w:r>
          </w:p>
        </w:tc>
      </w:tr>
      <w:tr w:rsidR="005D224E" w:rsidRPr="00F35103" w14:paraId="0C63987C" w14:textId="77777777" w:rsidTr="008B1391">
        <w:tc>
          <w:tcPr>
            <w:tcW w:w="0" w:type="auto"/>
          </w:tcPr>
          <w:p w14:paraId="297A57F1" w14:textId="77777777" w:rsidR="005D224E" w:rsidRPr="00F35103" w:rsidRDefault="005D224E" w:rsidP="008B1391">
            <w:pPr>
              <w:jc w:val="center"/>
              <w:rPr>
                <w:rFonts w:ascii="Times New Roman" w:hAnsi="Times New Roman" w:cs="Times New Roman"/>
                <w:color w:val="000000"/>
                <w:sz w:val="24"/>
                <w:szCs w:val="24"/>
              </w:rPr>
            </w:pPr>
            <w:r>
              <w:rPr>
                <w:rFonts w:ascii="Times New Roman" w:hAnsi="Times New Roman" w:cs="Times New Roman"/>
                <w:color w:val="000000"/>
                <w:sz w:val="24"/>
                <w:szCs w:val="24"/>
              </w:rPr>
              <w:t>Метод 5</w:t>
            </w:r>
          </w:p>
        </w:tc>
        <w:tc>
          <w:tcPr>
            <w:tcW w:w="0" w:type="auto"/>
          </w:tcPr>
          <w:p w14:paraId="558C70BF" w14:textId="77777777" w:rsidR="005D224E" w:rsidRPr="00F35103" w:rsidRDefault="005D224E" w:rsidP="008B1391">
            <w:pPr>
              <w:jc w:val="center"/>
              <w:rPr>
                <w:rFonts w:ascii="Times New Roman" w:hAnsi="Times New Roman" w:cs="Times New Roman"/>
                <w:color w:val="000000"/>
                <w:sz w:val="24"/>
                <w:szCs w:val="24"/>
              </w:rPr>
            </w:pPr>
            <w:r>
              <w:rPr>
                <w:rFonts w:ascii="Times New Roman" w:hAnsi="Times New Roman" w:cs="Times New Roman"/>
                <w:color w:val="000000"/>
                <w:sz w:val="24"/>
                <w:szCs w:val="24"/>
              </w:rPr>
              <w:t>Предполагает большее количество слагаемых</w:t>
            </w:r>
          </w:p>
        </w:tc>
        <w:tc>
          <w:tcPr>
            <w:tcW w:w="0" w:type="auto"/>
          </w:tcPr>
          <w:p w14:paraId="07CE3212" w14:textId="77777777" w:rsidR="005D224E" w:rsidRPr="00F35103" w:rsidRDefault="005D224E" w:rsidP="008B1391">
            <w:pPr>
              <w:jc w:val="center"/>
              <w:rPr>
                <w:rFonts w:ascii="Times New Roman" w:hAnsi="Times New Roman" w:cs="Times New Roman"/>
                <w:color w:val="000000"/>
                <w:sz w:val="24"/>
                <w:szCs w:val="24"/>
              </w:rPr>
            </w:pPr>
            <w:r>
              <w:rPr>
                <w:rFonts w:ascii="Times New Roman" w:hAnsi="Times New Roman" w:cs="Times New Roman"/>
                <w:color w:val="000000"/>
                <w:sz w:val="24"/>
                <w:szCs w:val="24"/>
              </w:rPr>
              <w:t>Меньшее количество слагаемых</w:t>
            </w:r>
          </w:p>
        </w:tc>
      </w:tr>
      <w:tr w:rsidR="005D224E" w:rsidRPr="00F35103" w14:paraId="349D9298" w14:textId="77777777" w:rsidTr="00634BB1">
        <w:trPr>
          <w:trHeight w:val="386"/>
        </w:trPr>
        <w:tc>
          <w:tcPr>
            <w:tcW w:w="0" w:type="auto"/>
          </w:tcPr>
          <w:p w14:paraId="63DD8C82" w14:textId="77777777" w:rsidR="005D224E" w:rsidRPr="00F35103" w:rsidRDefault="005D224E" w:rsidP="008B1391">
            <w:pPr>
              <w:jc w:val="center"/>
              <w:rPr>
                <w:rFonts w:ascii="Times New Roman" w:hAnsi="Times New Roman" w:cs="Times New Roman"/>
                <w:color w:val="000000"/>
                <w:sz w:val="24"/>
                <w:szCs w:val="24"/>
              </w:rPr>
            </w:pPr>
            <w:r>
              <w:rPr>
                <w:rFonts w:ascii="Times New Roman" w:hAnsi="Times New Roman" w:cs="Times New Roman"/>
                <w:color w:val="000000"/>
                <w:sz w:val="24"/>
                <w:szCs w:val="24"/>
              </w:rPr>
              <w:t>Метод 6</w:t>
            </w:r>
          </w:p>
        </w:tc>
        <w:tc>
          <w:tcPr>
            <w:tcW w:w="0" w:type="auto"/>
            <w:gridSpan w:val="2"/>
          </w:tcPr>
          <w:p w14:paraId="456451A9" w14:textId="77777777" w:rsidR="005D224E" w:rsidRPr="00F35103" w:rsidRDefault="005D224E" w:rsidP="008B1391">
            <w:pPr>
              <w:jc w:val="center"/>
              <w:rPr>
                <w:rFonts w:ascii="Times New Roman" w:hAnsi="Times New Roman" w:cs="Times New Roman"/>
                <w:color w:val="000000"/>
                <w:sz w:val="24"/>
                <w:szCs w:val="24"/>
              </w:rPr>
            </w:pPr>
            <w:r>
              <w:rPr>
                <w:rFonts w:ascii="Times New Roman" w:hAnsi="Times New Roman" w:cs="Times New Roman"/>
                <w:color w:val="000000"/>
                <w:sz w:val="24"/>
                <w:szCs w:val="24"/>
              </w:rPr>
              <w:t>Различий нет</w:t>
            </w:r>
          </w:p>
        </w:tc>
      </w:tr>
    </w:tbl>
    <w:p w14:paraId="1C0D8EAA" w14:textId="77777777" w:rsidR="005D224E" w:rsidRDefault="005D224E" w:rsidP="005D224E">
      <w:pPr>
        <w:spacing w:after="0" w:line="360" w:lineRule="auto"/>
        <w:ind w:firstLine="709"/>
        <w:jc w:val="center"/>
        <w:rPr>
          <w:rFonts w:ascii="Times New Roman" w:hAnsi="Times New Roman" w:cs="Times New Roman"/>
          <w:color w:val="000000"/>
          <w:sz w:val="28"/>
          <w:szCs w:val="28"/>
        </w:rPr>
      </w:pPr>
    </w:p>
    <w:p w14:paraId="4F26C123" w14:textId="4C925389"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 xml:space="preserve">Таким образом, </w:t>
      </w:r>
      <w:r>
        <w:rPr>
          <w:rFonts w:ascii="Times New Roman" w:hAnsi="Times New Roman" w:cs="Times New Roman"/>
          <w:sz w:val="28"/>
          <w:szCs w:val="28"/>
        </w:rPr>
        <w:t xml:space="preserve">определение таможенной стоимости происходит на базе шести методов, которые образуют систему методов определения таможенной стоимости. Данная система обладает свойством цикличности, который заключается в том, что методы применяются </w:t>
      </w:r>
      <w:r w:rsidRPr="00E03247">
        <w:rPr>
          <w:rFonts w:ascii="Times New Roman" w:hAnsi="Times New Roman" w:cs="Times New Roman"/>
          <w:sz w:val="28"/>
          <w:szCs w:val="28"/>
        </w:rPr>
        <w:t>последовательно</w:t>
      </w:r>
      <w:r>
        <w:rPr>
          <w:rFonts w:ascii="Times New Roman" w:hAnsi="Times New Roman" w:cs="Times New Roman"/>
          <w:sz w:val="28"/>
          <w:szCs w:val="28"/>
        </w:rPr>
        <w:t>. Исключение составляют только четвертый и пятый методы. Каждый метод имеет свои особенности по применению.</w:t>
      </w:r>
    </w:p>
    <w:p w14:paraId="249B8217" w14:textId="77777777" w:rsidR="00634BB1" w:rsidRDefault="00634BB1" w:rsidP="005D224E">
      <w:pPr>
        <w:spacing w:after="0" w:line="360" w:lineRule="auto"/>
        <w:ind w:firstLine="709"/>
        <w:jc w:val="both"/>
        <w:rPr>
          <w:rFonts w:ascii="Times New Roman" w:hAnsi="Times New Roman" w:cs="Times New Roman"/>
          <w:sz w:val="28"/>
          <w:szCs w:val="28"/>
        </w:rPr>
      </w:pPr>
    </w:p>
    <w:p w14:paraId="556EF498" w14:textId="7F424575" w:rsidR="00791B1B" w:rsidRPr="00634BB1" w:rsidRDefault="00634BB1" w:rsidP="00634BB1">
      <w:pPr>
        <w:keepNext/>
        <w:keepLines/>
        <w:spacing w:before="40" w:after="0" w:line="256" w:lineRule="auto"/>
        <w:jc w:val="center"/>
        <w:outlineLvl w:val="2"/>
        <w:rPr>
          <w:rStyle w:val="10"/>
          <w:rFonts w:ascii="Times New Roman" w:hAnsi="Times New Roman" w:cs="Times New Roman"/>
          <w:b/>
          <w:color w:val="auto"/>
          <w:sz w:val="28"/>
          <w:szCs w:val="28"/>
        </w:rPr>
      </w:pPr>
      <w:bookmarkStart w:id="15" w:name="_Toc152675671"/>
      <w:r>
        <w:rPr>
          <w:rFonts w:ascii="Times New Roman" w:eastAsia="Times New Roman" w:hAnsi="Times New Roman" w:cs="Times New Roman"/>
          <w:b/>
          <w:bCs/>
          <w:color w:val="1F3763"/>
          <w:sz w:val="28"/>
          <w:szCs w:val="28"/>
        </w:rPr>
        <w:t>1.2</w:t>
      </w:r>
      <w:r w:rsidRPr="00634BB1">
        <w:rPr>
          <w:rFonts w:ascii="Times New Roman" w:eastAsia="Times New Roman" w:hAnsi="Times New Roman" w:cs="Times New Roman"/>
          <w:b/>
          <w:bCs/>
          <w:color w:val="1F3763"/>
          <w:sz w:val="28"/>
          <w:szCs w:val="28"/>
        </w:rPr>
        <w:t xml:space="preserve">. </w:t>
      </w:r>
      <w:r w:rsidRPr="00634BB1">
        <w:rPr>
          <w:rStyle w:val="10"/>
          <w:rFonts w:ascii="Times New Roman" w:hAnsi="Times New Roman" w:cs="Times New Roman"/>
          <w:b/>
          <w:color w:val="auto"/>
          <w:sz w:val="28"/>
          <w:szCs w:val="28"/>
        </w:rPr>
        <w:t>Контроль таможенной стоимости товаров как элемент таможенного контроля: сущность, значение, цели и задачи</w:t>
      </w:r>
      <w:bookmarkEnd w:id="15"/>
    </w:p>
    <w:p w14:paraId="1CAA45A9" w14:textId="77777777" w:rsidR="00634BB1" w:rsidRPr="00634BB1" w:rsidRDefault="00634BB1" w:rsidP="00634BB1">
      <w:pPr>
        <w:spacing w:line="256" w:lineRule="auto"/>
        <w:rPr>
          <w:rFonts w:ascii="Calibri" w:eastAsia="Calibri" w:hAnsi="Calibri" w:cs="Times New Roman"/>
        </w:rPr>
      </w:pPr>
    </w:p>
    <w:p w14:paraId="4B3F2116"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На сегодняшний день одним из приоритетных и сложных направлений в деятельности таможенных органов является проведения контроля таможенной стоимости.</w:t>
      </w:r>
    </w:p>
    <w:p w14:paraId="4FE527C7"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Контроль таможенной стоимости представляет собой совокупность мер, принимаемых для обеспечения соблюдения таможенного законодательства ЕАЭС и Российской Федерации в части проверки достоверности заявленной участниками внешнеэкономической деятельности сведений о таможенной стоимости, правильности выбранного метода определения и расчета перемещаемых через таможенную границу товаров.</w:t>
      </w:r>
    </w:p>
    <w:p w14:paraId="2533CE84"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bookmarkStart w:id="16" w:name="_Hlk105655676"/>
      <w:r w:rsidRPr="00634BB1">
        <w:rPr>
          <w:rFonts w:ascii="Times New Roman" w:eastAsia="Calibri" w:hAnsi="Times New Roman" w:cs="Times New Roman"/>
          <w:sz w:val="28"/>
          <w:szCs w:val="28"/>
        </w:rPr>
        <w:t xml:space="preserve">Контроль таможенной стоимости является административной процедурой, которая представляет собой порядок последовательных действий должностных лиц таможенных органов, которые закреплены в </w:t>
      </w:r>
      <w:bookmarkStart w:id="17" w:name="_Hlk100900495"/>
      <w:r w:rsidRPr="00634BB1">
        <w:rPr>
          <w:rFonts w:ascii="Times New Roman" w:eastAsia="Calibri" w:hAnsi="Times New Roman" w:cs="Times New Roman"/>
          <w:sz w:val="28"/>
          <w:szCs w:val="28"/>
        </w:rPr>
        <w:t>приказе</w:t>
      </w:r>
      <w:bookmarkEnd w:id="17"/>
      <w:r w:rsidRPr="00634BB1">
        <w:rPr>
          <w:rFonts w:ascii="Times New Roman" w:eastAsia="Calibri" w:hAnsi="Times New Roman" w:cs="Times New Roman"/>
          <w:sz w:val="28"/>
          <w:szCs w:val="28"/>
        </w:rPr>
        <w:t xml:space="preserve">, а также другими подконтрольными лицами и иными субъектами таможенных правоотношений, которые регламентируются административно-процессуальными нормами процедурного характера, закреплённых на разных уровнях, таких как: международный, национальный, региональный. </w:t>
      </w:r>
      <w:bookmarkEnd w:id="16"/>
      <w:r w:rsidRPr="00634BB1">
        <w:rPr>
          <w:rFonts w:ascii="Times New Roman" w:eastAsia="Calibri" w:hAnsi="Times New Roman" w:cs="Times New Roman"/>
          <w:sz w:val="28"/>
          <w:szCs w:val="28"/>
        </w:rPr>
        <w:t xml:space="preserve">Особенность контроля таможенной стоимости заключается в том, что его реализация происходит только после определения и декларирования таможенной стоимости. </w:t>
      </w:r>
      <w:r w:rsidRPr="00634BB1">
        <w:rPr>
          <w:rFonts w:ascii="Times New Roman" w:eastAsia="Calibri" w:hAnsi="Times New Roman" w:cs="Times New Roman"/>
          <w:sz w:val="28"/>
          <w:szCs w:val="28"/>
        </w:rPr>
        <w:lastRenderedPageBreak/>
        <w:t>Следовательно, перед проведением контроля таможенной стоимости проходит процедуру определения и декларирования таможенной стоимости.</w:t>
      </w:r>
    </w:p>
    <w:p w14:paraId="4F8673E5"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bookmarkStart w:id="18" w:name="_Hlk105655851"/>
      <w:r w:rsidRPr="00634BB1">
        <w:rPr>
          <w:rFonts w:ascii="Times New Roman" w:eastAsia="Calibri" w:hAnsi="Times New Roman" w:cs="Times New Roman"/>
          <w:sz w:val="28"/>
          <w:szCs w:val="28"/>
        </w:rPr>
        <w:t>При проведении контроля таможенного стоимости должностные лица таможенных органов преследуют целью реализовать за счет функций контроля таможенной стоимости меры по обеспечению таможенного-тарифного регулирования, а также запретов и ограничений.</w:t>
      </w:r>
    </w:p>
    <w:p w14:paraId="7418FF24"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Контроль таможенной стоимости преследует следующие цели:</w:t>
      </w:r>
    </w:p>
    <w:p w14:paraId="7E00F7F1"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 реализация объективной и качественной оценки товаров, которые перемещаются через таможенную границу;</w:t>
      </w:r>
    </w:p>
    <w:p w14:paraId="0634E01A"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 выполнение достаточного объема поступлений в федеральный бюджет сумм таможенных платежей, которые рассчитываться на базе таможенной стоимости;</w:t>
      </w:r>
    </w:p>
    <w:p w14:paraId="3585E930"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 использование нетарифных мер регулирования, которые применяются на базе таможенной стоимости товаров;</w:t>
      </w:r>
    </w:p>
    <w:p w14:paraId="6D4FA290"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  осуществление и учет таможенной статистики.</w:t>
      </w:r>
    </w:p>
    <w:p w14:paraId="231C5D22"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Задачами контроля таможенной стоимости товаров, которые пересекают таможенную границу, являются:</w:t>
      </w:r>
    </w:p>
    <w:p w14:paraId="122DADB5"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 обеспечение и соблюдение единообразного подхода к принятию таможенными органами решений по таможенной стоимости;</w:t>
      </w:r>
    </w:p>
    <w:p w14:paraId="7D6DAFBF"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 модернизация таможенного законодательства в области контроля таможенной стоимости, его унификация и гармонизация с нормами Всемирной торговой организацией;</w:t>
      </w:r>
    </w:p>
    <w:p w14:paraId="73FC3F06"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 разработка и формирование единой системы информационного обеспечения контроля таможенной стоимости и мониторинга стоимостных показателей внешнеэкономической деятельности.</w:t>
      </w:r>
    </w:p>
    <w:p w14:paraId="2F0AC723"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 реализация контроля таможенной стоимости, основываясь на всевозможных рисках правонарушений в области таможенной стоимости.</w:t>
      </w:r>
    </w:p>
    <w:bookmarkEnd w:id="18"/>
    <w:p w14:paraId="4B864A3A" w14:textId="77777777" w:rsidR="00634BB1" w:rsidRPr="00634BB1" w:rsidRDefault="00634BB1" w:rsidP="00634BB1">
      <w:pPr>
        <w:spacing w:after="0" w:line="360" w:lineRule="auto"/>
        <w:ind w:firstLine="709"/>
        <w:contextualSpacing/>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Принципы контроля таможенной стоимости товаров:</w:t>
      </w:r>
    </w:p>
    <w:p w14:paraId="79DA7BF7" w14:textId="77777777" w:rsidR="00634BB1" w:rsidRPr="00634BB1" w:rsidRDefault="00634BB1" w:rsidP="00634BB1">
      <w:pPr>
        <w:numPr>
          <w:ilvl w:val="0"/>
          <w:numId w:val="3"/>
        </w:numPr>
        <w:tabs>
          <w:tab w:val="left" w:pos="993"/>
        </w:tabs>
        <w:spacing w:after="0" w:line="360" w:lineRule="auto"/>
        <w:ind w:left="0" w:firstLine="709"/>
        <w:contextualSpacing/>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lastRenderedPageBreak/>
        <w:t>Соблюдение законности должностными лицами таможенных органов при принятии решений по таможенной стоимости.</w:t>
      </w:r>
    </w:p>
    <w:p w14:paraId="4DD2BE52" w14:textId="77777777" w:rsidR="00634BB1" w:rsidRPr="00634BB1" w:rsidRDefault="00634BB1" w:rsidP="00634BB1">
      <w:pPr>
        <w:numPr>
          <w:ilvl w:val="0"/>
          <w:numId w:val="3"/>
        </w:numPr>
        <w:tabs>
          <w:tab w:val="left" w:pos="993"/>
        </w:tabs>
        <w:spacing w:after="0" w:line="360" w:lineRule="auto"/>
        <w:ind w:left="0" w:firstLine="709"/>
        <w:contextualSpacing/>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Обеспечение соблюдения законодательства РФ как в области таможенного дела, так и в вопросах, касающихся таможенной стоимости.</w:t>
      </w:r>
    </w:p>
    <w:p w14:paraId="28DC38EA" w14:textId="77777777" w:rsidR="00634BB1" w:rsidRPr="00634BB1" w:rsidRDefault="00634BB1" w:rsidP="00634BB1">
      <w:pPr>
        <w:numPr>
          <w:ilvl w:val="0"/>
          <w:numId w:val="3"/>
        </w:numPr>
        <w:tabs>
          <w:tab w:val="left" w:pos="993"/>
        </w:tabs>
        <w:spacing w:after="0" w:line="360" w:lineRule="auto"/>
        <w:ind w:left="0" w:firstLine="709"/>
        <w:contextualSpacing/>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Объективность и точность оценки стоимости товаров.</w:t>
      </w:r>
    </w:p>
    <w:p w14:paraId="23803CC8" w14:textId="77777777" w:rsidR="00634BB1" w:rsidRPr="00634BB1" w:rsidRDefault="00634BB1" w:rsidP="00634BB1">
      <w:pPr>
        <w:numPr>
          <w:ilvl w:val="0"/>
          <w:numId w:val="3"/>
        </w:numPr>
        <w:tabs>
          <w:tab w:val="left" w:pos="993"/>
        </w:tabs>
        <w:spacing w:after="0" w:line="360" w:lineRule="auto"/>
        <w:ind w:left="0" w:firstLine="709"/>
        <w:contextualSpacing/>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Прозрачность действий должностных лиц таможенных органов при осуществлении контроля таможенной стоимости.</w:t>
      </w:r>
    </w:p>
    <w:p w14:paraId="09A87AFC" w14:textId="77777777" w:rsidR="00634BB1" w:rsidRPr="00634BB1" w:rsidRDefault="00634BB1" w:rsidP="00634BB1">
      <w:pPr>
        <w:numPr>
          <w:ilvl w:val="0"/>
          <w:numId w:val="3"/>
        </w:numPr>
        <w:tabs>
          <w:tab w:val="left" w:pos="993"/>
        </w:tabs>
        <w:spacing w:after="0" w:line="360" w:lineRule="auto"/>
        <w:ind w:left="0" w:firstLine="709"/>
        <w:contextualSpacing/>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Неизбежность и полнота наказаний при выявлении нарушений в процессе контроля таможенной стоимости.</w:t>
      </w:r>
    </w:p>
    <w:p w14:paraId="1F82BD1C"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Рассматривать контроль таможенной стоимости как отдельный элемент таможенного дела нецелесообразно, так как контроль таможенной стоимости осуществляется в рамках проведения таможенного контроля. Таможенный контроль представляет собой совокупность совершаемых таможенными органами действий, направленных на проверку и (или) обеспечения соблюдения международных договоров и актов в сфере таможенного регулирования и законодательства государств-членов о таможенном регулировании.</w:t>
      </w:r>
    </w:p>
    <w:p w14:paraId="759DB169"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При проведении таможенного контроля таможенными органами используются следующие формы таможенного контроля:</w:t>
      </w:r>
    </w:p>
    <w:p w14:paraId="3DAC0BF8"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 получение объяснений;</w:t>
      </w:r>
    </w:p>
    <w:p w14:paraId="0C5408A1"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 проверка таможенных, иных документов и (или) сведений;</w:t>
      </w:r>
    </w:p>
    <w:p w14:paraId="0EDBD2AC"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 таможенный осмотр;</w:t>
      </w:r>
    </w:p>
    <w:p w14:paraId="222DBD38"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 таможенный досмотр;</w:t>
      </w:r>
    </w:p>
    <w:p w14:paraId="4FC0D1AD"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 личный таможенный досмотр;</w:t>
      </w:r>
    </w:p>
    <w:p w14:paraId="3338CCDD"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 таможенный осмотр помещений и территорий;</w:t>
      </w:r>
    </w:p>
    <w:p w14:paraId="25180D28"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 таможенная проверка.</w:t>
      </w:r>
    </w:p>
    <w:p w14:paraId="26BD8D53"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bookmarkStart w:id="19" w:name="_Hlk105656066"/>
      <w:r w:rsidRPr="00634BB1">
        <w:rPr>
          <w:rFonts w:ascii="Times New Roman" w:eastAsia="Calibri" w:hAnsi="Times New Roman" w:cs="Times New Roman"/>
          <w:sz w:val="28"/>
          <w:szCs w:val="28"/>
        </w:rPr>
        <w:t>Контроль таможенной стоимости проводиться при любой из форм таможенного контроля. Исходя из этого, контроль таможенной стоимости представляет собой неотъемлемую часть системы таможенного контроля за перемещаемыми через таможенную границу товаров в целом.</w:t>
      </w:r>
    </w:p>
    <w:bookmarkEnd w:id="19"/>
    <w:p w14:paraId="6407C854" w14:textId="38CE8032" w:rsid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lastRenderedPageBreak/>
        <w:t>Система контроля таможенной стоимости товаров, перемещаемых через таможенную границу, состоит из нескольких форм, каждый из которых содержит свои методы (рис.</w:t>
      </w:r>
      <w:r w:rsidR="005C47E3">
        <w:rPr>
          <w:rFonts w:ascii="Times New Roman" w:eastAsia="Calibri" w:hAnsi="Times New Roman" w:cs="Times New Roman"/>
          <w:sz w:val="28"/>
          <w:szCs w:val="28"/>
        </w:rPr>
        <w:t>7</w:t>
      </w:r>
      <w:r w:rsidRPr="00634BB1">
        <w:rPr>
          <w:rFonts w:ascii="Times New Roman" w:eastAsia="Calibri" w:hAnsi="Times New Roman" w:cs="Times New Roman"/>
          <w:sz w:val="28"/>
          <w:szCs w:val="28"/>
        </w:rPr>
        <w:t xml:space="preserve">). </w:t>
      </w:r>
    </w:p>
    <w:p w14:paraId="28644495" w14:textId="55ED61A1" w:rsidR="00B864B8" w:rsidRDefault="00B864B8" w:rsidP="00634BB1">
      <w:pPr>
        <w:spacing w:after="0" w:line="360" w:lineRule="auto"/>
        <w:ind w:firstLine="709"/>
        <w:jc w:val="both"/>
        <w:rPr>
          <w:rFonts w:ascii="Times New Roman" w:eastAsia="Calibri" w:hAnsi="Times New Roman" w:cs="Times New Roman"/>
          <w:sz w:val="28"/>
          <w:szCs w:val="28"/>
        </w:rPr>
      </w:pPr>
    </w:p>
    <w:p w14:paraId="26C8CD76" w14:textId="00EB8C7E" w:rsidR="00B864B8" w:rsidRPr="00634BB1" w:rsidRDefault="00B864B8" w:rsidP="00634BB1">
      <w:pPr>
        <w:spacing w:after="0" w:line="360" w:lineRule="auto"/>
        <w:ind w:firstLine="709"/>
        <w:jc w:val="both"/>
        <w:rPr>
          <w:rFonts w:ascii="Times New Roman" w:eastAsia="Calibri" w:hAnsi="Times New Roman" w:cs="Times New Roman"/>
          <w:sz w:val="28"/>
          <w:szCs w:val="28"/>
        </w:rPr>
      </w:pPr>
    </w:p>
    <w:p w14:paraId="2559E017" w14:textId="36C8F469" w:rsidR="00634BB1" w:rsidRPr="00634BB1" w:rsidRDefault="00B864B8"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noProof/>
          <w:sz w:val="28"/>
          <w:szCs w:val="28"/>
        </w:rPr>
        <mc:AlternateContent>
          <mc:Choice Requires="wpg">
            <w:drawing>
              <wp:anchor distT="0" distB="0" distL="114300" distR="114300" simplePos="0" relativeHeight="251670528" behindDoc="0" locked="0" layoutInCell="1" allowOverlap="1" wp14:anchorId="3F80DDA8" wp14:editId="64DE6805">
                <wp:simplePos x="0" y="0"/>
                <wp:positionH relativeFrom="column">
                  <wp:posOffset>671195</wp:posOffset>
                </wp:positionH>
                <wp:positionV relativeFrom="paragraph">
                  <wp:posOffset>-5715</wp:posOffset>
                </wp:positionV>
                <wp:extent cx="4792980" cy="5753100"/>
                <wp:effectExtent l="0" t="0" r="26670" b="19050"/>
                <wp:wrapNone/>
                <wp:docPr id="10" name="Группа 10"/>
                <wp:cNvGraphicFramePr/>
                <a:graphic xmlns:a="http://schemas.openxmlformats.org/drawingml/2006/main">
                  <a:graphicData uri="http://schemas.microsoft.com/office/word/2010/wordprocessingGroup">
                    <wpg:wgp>
                      <wpg:cNvGrpSpPr/>
                      <wpg:grpSpPr>
                        <a:xfrm>
                          <a:off x="0" y="0"/>
                          <a:ext cx="4792980" cy="5753100"/>
                          <a:chOff x="0" y="-47625"/>
                          <a:chExt cx="4792980" cy="5721985"/>
                        </a:xfrm>
                      </wpg:grpSpPr>
                      <wpg:grpSp>
                        <wpg:cNvPr id="11" name="Группа 11"/>
                        <wpg:cNvGrpSpPr/>
                        <wpg:grpSpPr>
                          <a:xfrm>
                            <a:off x="0" y="-47625"/>
                            <a:ext cx="4792980" cy="5721985"/>
                            <a:chOff x="22860" y="-45213"/>
                            <a:chExt cx="4792980" cy="5432161"/>
                          </a:xfrm>
                        </wpg:grpSpPr>
                        <wps:wsp>
                          <wps:cNvPr id="14" name="Прямоугольник 14"/>
                          <wps:cNvSpPr/>
                          <wps:spPr>
                            <a:xfrm>
                              <a:off x="22860" y="-45213"/>
                              <a:ext cx="4770120" cy="380492"/>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ABF56F0" w14:textId="77777777" w:rsidR="008461DD" w:rsidRPr="00E8651E" w:rsidRDefault="008461DD" w:rsidP="00634BB1">
                                <w:pPr>
                                  <w:spacing w:after="0" w:line="257" w:lineRule="auto"/>
                                  <w:jc w:val="center"/>
                                  <w:rPr>
                                    <w:rFonts w:ascii="Times New Roman" w:hAnsi="Times New Roman" w:cs="Times New Roman"/>
                                    <w:sz w:val="24"/>
                                    <w:szCs w:val="24"/>
                                  </w:rPr>
                                </w:pPr>
                                <w:r w:rsidRPr="00E8651E">
                                  <w:rPr>
                                    <w:rFonts w:ascii="Times New Roman" w:hAnsi="Times New Roman" w:cs="Times New Roman"/>
                                    <w:sz w:val="24"/>
                                    <w:szCs w:val="24"/>
                                  </w:rPr>
                                  <w:t xml:space="preserve">Виды таможенного контроля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6" name="Прямоугольник 16"/>
                          <wps:cNvSpPr/>
                          <wps:spPr>
                            <a:xfrm>
                              <a:off x="45720" y="609600"/>
                              <a:ext cx="1295400" cy="61722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85747E7" w14:textId="77777777" w:rsidR="008461DD" w:rsidRPr="00D22659" w:rsidRDefault="008461DD" w:rsidP="00634BB1">
                                <w:pPr>
                                  <w:jc w:val="center"/>
                                  <w:rPr>
                                    <w:rFonts w:ascii="Times New Roman" w:hAnsi="Times New Roman" w:cs="Times New Roman"/>
                                  </w:rPr>
                                </w:pPr>
                                <w:r w:rsidRPr="00D22659">
                                  <w:rPr>
                                    <w:rFonts w:ascii="Times New Roman" w:hAnsi="Times New Roman" w:cs="Times New Roman"/>
                                  </w:rPr>
                                  <w:t>Предварительное информирование</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7" name="Прямоугольник 17"/>
                          <wps:cNvSpPr/>
                          <wps:spPr>
                            <a:xfrm>
                              <a:off x="1775460" y="609600"/>
                              <a:ext cx="1295400" cy="61722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D798D56" w14:textId="77777777" w:rsidR="008461DD" w:rsidRPr="00D22659" w:rsidRDefault="008461DD" w:rsidP="00634BB1">
                                <w:pPr>
                                  <w:jc w:val="center"/>
                                  <w:rPr>
                                    <w:rFonts w:ascii="Times New Roman" w:hAnsi="Times New Roman" w:cs="Times New Roman"/>
                                  </w:rPr>
                                </w:pPr>
                                <w:r w:rsidRPr="00D22659">
                                  <w:rPr>
                                    <w:rFonts w:ascii="Times New Roman" w:hAnsi="Times New Roman" w:cs="Times New Roman"/>
                                  </w:rPr>
                                  <w:t xml:space="preserve">Таможенный контроль до выпуска товаров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8" name="Прямоугольник 18"/>
                          <wps:cNvSpPr/>
                          <wps:spPr>
                            <a:xfrm>
                              <a:off x="3497580" y="609600"/>
                              <a:ext cx="1295400" cy="61722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7A22D3BF" w14:textId="77777777" w:rsidR="008461DD" w:rsidRPr="00D22659" w:rsidRDefault="008461DD" w:rsidP="00634BB1">
                                <w:pPr>
                                  <w:jc w:val="center"/>
                                  <w:rPr>
                                    <w:rFonts w:ascii="Times New Roman" w:hAnsi="Times New Roman" w:cs="Times New Roman"/>
                                  </w:rPr>
                                </w:pPr>
                                <w:r w:rsidRPr="00D22659">
                                  <w:rPr>
                                    <w:rFonts w:ascii="Times New Roman" w:hAnsi="Times New Roman" w:cs="Times New Roman"/>
                                  </w:rPr>
                                  <w:t>Таможенный контроль после выпуска товаров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19" name="Прямоугольник 19"/>
                          <wps:cNvSpPr/>
                          <wps:spPr>
                            <a:xfrm>
                              <a:off x="45720" y="1501140"/>
                              <a:ext cx="4770120" cy="32004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2D45F443" w14:textId="77777777" w:rsidR="008461DD" w:rsidRPr="00E8651E" w:rsidRDefault="008461DD" w:rsidP="00634BB1">
                                <w:pPr>
                                  <w:jc w:val="center"/>
                                  <w:rPr>
                                    <w:rFonts w:ascii="Times New Roman" w:hAnsi="Times New Roman" w:cs="Times New Roman"/>
                                    <w:sz w:val="24"/>
                                    <w:szCs w:val="24"/>
                                  </w:rPr>
                                </w:pPr>
                                <w:r>
                                  <w:rPr>
                                    <w:rFonts w:ascii="Times New Roman" w:hAnsi="Times New Roman" w:cs="Times New Roman"/>
                                    <w:sz w:val="24"/>
                                    <w:szCs w:val="24"/>
                                  </w:rPr>
                                  <w:t>Формы контроля таможенной стоимости</w:t>
                                </w:r>
                                <w:r w:rsidRPr="00E8651E">
                                  <w:rPr>
                                    <w:rFonts w:ascii="Times New Roman" w:hAnsi="Times New Roman" w:cs="Times New Roman"/>
                                    <w:sz w:val="24"/>
                                    <w:szCs w:val="24"/>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0" name="Прямоугольник 20"/>
                          <wps:cNvSpPr/>
                          <wps:spPr>
                            <a:xfrm>
                              <a:off x="22860" y="2986136"/>
                              <a:ext cx="4792980" cy="33528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126A5F9F" w14:textId="77777777" w:rsidR="008461DD" w:rsidRPr="00E8651E" w:rsidRDefault="008461DD" w:rsidP="00634BB1">
                                <w:pPr>
                                  <w:jc w:val="center"/>
                                  <w:rPr>
                                    <w:rFonts w:ascii="Times New Roman" w:hAnsi="Times New Roman" w:cs="Times New Roman"/>
                                    <w:sz w:val="24"/>
                                    <w:szCs w:val="24"/>
                                  </w:rPr>
                                </w:pPr>
                                <w:r>
                                  <w:rPr>
                                    <w:rFonts w:ascii="Times New Roman" w:hAnsi="Times New Roman" w:cs="Times New Roman"/>
                                    <w:sz w:val="24"/>
                                    <w:szCs w:val="24"/>
                                  </w:rPr>
                                  <w:t>Методы форм контроля таможенной стоимости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1" name="Прямоугольник 21"/>
                          <wps:cNvSpPr/>
                          <wps:spPr>
                            <a:xfrm>
                              <a:off x="45720" y="2110740"/>
                              <a:ext cx="1295400" cy="61722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457C3042" w14:textId="77777777" w:rsidR="008461DD" w:rsidRPr="00D22659" w:rsidRDefault="008461DD" w:rsidP="00634BB1">
                                <w:pPr>
                                  <w:jc w:val="center"/>
                                  <w:rPr>
                                    <w:rFonts w:ascii="Times New Roman" w:hAnsi="Times New Roman" w:cs="Times New Roman"/>
                                  </w:rPr>
                                </w:pPr>
                                <w:r w:rsidRPr="00D22659">
                                  <w:rPr>
                                    <w:rFonts w:ascii="Times New Roman" w:hAnsi="Times New Roman" w:cs="Times New Roman"/>
                                  </w:rPr>
                                  <w:t>Предварительн</w:t>
                                </w:r>
                                <w:r>
                                  <w:rPr>
                                    <w:rFonts w:ascii="Times New Roman" w:hAnsi="Times New Roman" w:cs="Times New Roman"/>
                                  </w:rPr>
                                  <w:t>ый контроль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2" name="Прямоугольник 22"/>
                          <wps:cNvSpPr/>
                          <wps:spPr>
                            <a:xfrm>
                              <a:off x="1813560" y="2137410"/>
                              <a:ext cx="1295400" cy="61722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611AF4D6" w14:textId="77777777" w:rsidR="008461DD" w:rsidRPr="00D22659" w:rsidRDefault="008461DD" w:rsidP="00634BB1">
                                <w:pPr>
                                  <w:jc w:val="center"/>
                                  <w:rPr>
                                    <w:rFonts w:ascii="Times New Roman" w:hAnsi="Times New Roman" w:cs="Times New Roman"/>
                                  </w:rPr>
                                </w:pPr>
                                <w:r>
                                  <w:rPr>
                                    <w:rFonts w:ascii="Times New Roman" w:hAnsi="Times New Roman" w:cs="Times New Roman"/>
                                  </w:rPr>
                                  <w:t>Текущий контроль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3" name="Прямоугольник 23"/>
                          <wps:cNvSpPr/>
                          <wps:spPr>
                            <a:xfrm>
                              <a:off x="3497580" y="2110740"/>
                              <a:ext cx="1295400" cy="61722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8C334D9" w14:textId="77777777" w:rsidR="008461DD" w:rsidRPr="00D22659" w:rsidRDefault="008461DD" w:rsidP="00634BB1">
                                <w:pPr>
                                  <w:jc w:val="center"/>
                                  <w:rPr>
                                    <w:rFonts w:ascii="Times New Roman" w:hAnsi="Times New Roman" w:cs="Times New Roman"/>
                                  </w:rPr>
                                </w:pPr>
                                <w:r>
                                  <w:rPr>
                                    <w:rFonts w:ascii="Times New Roman" w:hAnsi="Times New Roman" w:cs="Times New Roman"/>
                                  </w:rPr>
                                  <w:t>Последующий контроль</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4" name="Прямоугольник 24"/>
                          <wps:cNvSpPr/>
                          <wps:spPr>
                            <a:xfrm>
                              <a:off x="22860" y="3512038"/>
                              <a:ext cx="1318260" cy="1874910"/>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51F589E1" w14:textId="77777777" w:rsidR="008461DD" w:rsidRPr="00D22659" w:rsidRDefault="008461DD" w:rsidP="00634BB1">
                                <w:pPr>
                                  <w:jc w:val="center"/>
                                  <w:rPr>
                                    <w:rFonts w:ascii="Times New Roman" w:hAnsi="Times New Roman" w:cs="Times New Roman"/>
                                  </w:rPr>
                                </w:pPr>
                                <w:r>
                                  <w:rPr>
                                    <w:rFonts w:ascii="Times New Roman" w:hAnsi="Times New Roman" w:cs="Times New Roman"/>
                                  </w:rPr>
                                  <w:t>Аналитический, сравнительный, статистический и управления рисками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5" name="Прямоугольник 25"/>
                          <wps:cNvSpPr/>
                          <wps:spPr>
                            <a:xfrm>
                              <a:off x="1775460" y="3506098"/>
                              <a:ext cx="1295400" cy="187498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C27F5F0" w14:textId="77777777" w:rsidR="008461DD" w:rsidRPr="00D22659" w:rsidRDefault="008461DD" w:rsidP="00634BB1">
                                <w:pPr>
                                  <w:jc w:val="center"/>
                                  <w:rPr>
                                    <w:rFonts w:ascii="Times New Roman" w:hAnsi="Times New Roman" w:cs="Times New Roman"/>
                                  </w:rPr>
                                </w:pPr>
                                <w:r>
                                  <w:rPr>
                                    <w:rFonts w:ascii="Times New Roman" w:hAnsi="Times New Roman" w:cs="Times New Roman"/>
                                  </w:rPr>
                                  <w:t>Документальный контроль и анализ рисков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6" name="Прямоугольник 26"/>
                          <wps:cNvSpPr/>
                          <wps:spPr>
                            <a:xfrm>
                              <a:off x="3497580" y="3507136"/>
                              <a:ext cx="1318260" cy="1874989"/>
                            </a:xfrm>
                            <a:prstGeom prst="rect">
                              <a:avLst/>
                            </a:prstGeom>
                            <a:solidFill>
                              <a:sysClr val="window" lastClr="FFFFFF"/>
                            </a:solidFill>
                            <a:ln w="12700" cap="flat" cmpd="sng" algn="ctr">
                              <a:solidFill>
                                <a:sysClr val="windowText" lastClr="000000"/>
                              </a:solidFill>
                              <a:prstDash val="solid"/>
                              <a:miter lim="800000"/>
                            </a:ln>
                            <a:effectLst/>
                          </wps:spPr>
                          <wps:txbx>
                            <w:txbxContent>
                              <w:p w14:paraId="3FABB840" w14:textId="77777777" w:rsidR="008461DD" w:rsidRPr="00D22659" w:rsidRDefault="008461DD" w:rsidP="00634BB1">
                                <w:pPr>
                                  <w:jc w:val="center"/>
                                  <w:rPr>
                                    <w:rFonts w:ascii="Times New Roman" w:hAnsi="Times New Roman" w:cs="Times New Roman"/>
                                  </w:rPr>
                                </w:pPr>
                                <w:r>
                                  <w:rPr>
                                    <w:rFonts w:ascii="Times New Roman" w:hAnsi="Times New Roman" w:cs="Times New Roman"/>
                                  </w:rPr>
                                  <w:t>Документальный контроль, аудит, ревизия, бухгалтерский учет, складской учет, коммерческая документация, оперативно-розыскные мероприятия</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7" name="Стрелка: вниз 27"/>
                          <wps:cNvSpPr/>
                          <wps:spPr>
                            <a:xfrm>
                              <a:off x="613410" y="335280"/>
                              <a:ext cx="45719" cy="274320"/>
                            </a:xfrm>
                            <a:prstGeom prst="down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8" name="Стрелка: вниз 28"/>
                          <wps:cNvSpPr/>
                          <wps:spPr>
                            <a:xfrm>
                              <a:off x="2343150" y="335280"/>
                              <a:ext cx="45085" cy="274320"/>
                            </a:xfrm>
                            <a:prstGeom prst="down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29" name="Стрелка: вниз 29"/>
                          <wps:cNvSpPr/>
                          <wps:spPr>
                            <a:xfrm>
                              <a:off x="4072890" y="335280"/>
                              <a:ext cx="45719" cy="274320"/>
                            </a:xfrm>
                            <a:prstGeom prst="down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0" name="Прямая со стрелкой 30"/>
                          <wps:cNvCnPr/>
                          <wps:spPr>
                            <a:xfrm>
                              <a:off x="655320" y="1226820"/>
                              <a:ext cx="0" cy="883920"/>
                            </a:xfrm>
                            <a:prstGeom prst="straightConnector1">
                              <a:avLst/>
                            </a:prstGeom>
                            <a:solidFill>
                              <a:sysClr val="window" lastClr="FFFFFF"/>
                            </a:solidFill>
                            <a:ln w="12700" cap="flat" cmpd="sng" algn="ctr">
                              <a:solidFill>
                                <a:sysClr val="windowText" lastClr="000000"/>
                              </a:solidFill>
                              <a:prstDash val="solid"/>
                              <a:miter lim="800000"/>
                              <a:tailEnd type="triangle"/>
                            </a:ln>
                            <a:effectLst/>
                          </wps:spPr>
                          <wps:bodyPr/>
                        </wps:wsp>
                        <wps:wsp>
                          <wps:cNvPr id="31" name="Прямая со стрелкой 31"/>
                          <wps:cNvCnPr/>
                          <wps:spPr>
                            <a:xfrm>
                              <a:off x="2438400" y="1226820"/>
                              <a:ext cx="0" cy="883920"/>
                            </a:xfrm>
                            <a:prstGeom prst="straightConnector1">
                              <a:avLst/>
                            </a:prstGeom>
                            <a:solidFill>
                              <a:sysClr val="window" lastClr="FFFFFF"/>
                            </a:solidFill>
                            <a:ln w="12700" cap="flat" cmpd="sng" algn="ctr">
                              <a:solidFill>
                                <a:sysClr val="windowText" lastClr="000000"/>
                              </a:solidFill>
                              <a:prstDash val="solid"/>
                              <a:miter lim="800000"/>
                              <a:tailEnd type="triangle"/>
                            </a:ln>
                            <a:effectLst/>
                          </wps:spPr>
                          <wps:bodyPr/>
                        </wps:wsp>
                        <wps:wsp>
                          <wps:cNvPr id="32" name="Прямая со стрелкой 32"/>
                          <wps:cNvCnPr/>
                          <wps:spPr>
                            <a:xfrm>
                              <a:off x="4122420" y="1226820"/>
                              <a:ext cx="0" cy="883920"/>
                            </a:xfrm>
                            <a:prstGeom prst="straightConnector1">
                              <a:avLst/>
                            </a:prstGeom>
                            <a:solidFill>
                              <a:sysClr val="window" lastClr="FFFFFF"/>
                            </a:solidFill>
                            <a:ln w="12700" cap="flat" cmpd="sng" algn="ctr">
                              <a:solidFill>
                                <a:sysClr val="windowText" lastClr="000000"/>
                              </a:solidFill>
                              <a:prstDash val="solid"/>
                              <a:miter lim="800000"/>
                              <a:tailEnd type="triangle"/>
                            </a:ln>
                            <a:effectLst/>
                          </wps:spPr>
                          <wps:bodyPr/>
                        </wps:wsp>
                        <wps:wsp>
                          <wps:cNvPr id="33" name="Стрелка: вверх 33"/>
                          <wps:cNvSpPr/>
                          <wps:spPr>
                            <a:xfrm rot="10800000">
                              <a:off x="659130" y="2731770"/>
                              <a:ext cx="45719" cy="251460"/>
                            </a:xfrm>
                            <a:prstGeom prst="up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4" name="Стрелка: вверх 34"/>
                          <wps:cNvSpPr/>
                          <wps:spPr>
                            <a:xfrm rot="10800000">
                              <a:off x="2434590" y="2731770"/>
                              <a:ext cx="45719" cy="251460"/>
                            </a:xfrm>
                            <a:prstGeom prst="up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s:wsp>
                          <wps:cNvPr id="35" name="Стрелка: вверх 35"/>
                          <wps:cNvSpPr/>
                          <wps:spPr>
                            <a:xfrm rot="10800000">
                              <a:off x="4118610" y="2731770"/>
                              <a:ext cx="45719" cy="251460"/>
                            </a:xfrm>
                            <a:prstGeom prst="upArrow">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grpSp>
                      <wps:wsp>
                        <wps:cNvPr id="36" name="Прямая со стрелкой 36"/>
                        <wps:cNvCnPr/>
                        <wps:spPr>
                          <a:xfrm>
                            <a:off x="685800" y="3535680"/>
                            <a:ext cx="0" cy="165521"/>
                          </a:xfrm>
                          <a:prstGeom prst="straightConnector1">
                            <a:avLst/>
                          </a:prstGeom>
                          <a:solidFill>
                            <a:sysClr val="window" lastClr="FFFFFF"/>
                          </a:solidFill>
                          <a:ln w="12700" cap="flat" cmpd="sng" algn="ctr">
                            <a:solidFill>
                              <a:sysClr val="windowText" lastClr="000000"/>
                            </a:solidFill>
                            <a:prstDash val="solid"/>
                            <a:miter lim="800000"/>
                            <a:tailEnd type="triangle"/>
                          </a:ln>
                          <a:effectLst/>
                        </wps:spPr>
                        <wps:bodyPr/>
                      </wps:wsp>
                      <wps:wsp>
                        <wps:cNvPr id="37" name="Прямая со стрелкой 37"/>
                        <wps:cNvCnPr/>
                        <wps:spPr>
                          <a:xfrm>
                            <a:off x="2377440" y="3520440"/>
                            <a:ext cx="0" cy="165521"/>
                          </a:xfrm>
                          <a:prstGeom prst="straightConnector1">
                            <a:avLst/>
                          </a:prstGeom>
                          <a:solidFill>
                            <a:sysClr val="window" lastClr="FFFFFF"/>
                          </a:solidFill>
                          <a:ln w="12700" cap="flat" cmpd="sng" algn="ctr">
                            <a:solidFill>
                              <a:sysClr val="windowText" lastClr="000000"/>
                            </a:solidFill>
                            <a:prstDash val="solid"/>
                            <a:miter lim="800000"/>
                            <a:tailEnd type="triangle"/>
                          </a:ln>
                          <a:effectLst/>
                        </wps:spPr>
                        <wps:bodyPr/>
                      </wps:wsp>
                      <wps:wsp>
                        <wps:cNvPr id="38" name="Прямая со стрелкой 38"/>
                        <wps:cNvCnPr/>
                        <wps:spPr>
                          <a:xfrm>
                            <a:off x="4137660" y="3505200"/>
                            <a:ext cx="0" cy="200792"/>
                          </a:xfrm>
                          <a:prstGeom prst="straightConnector1">
                            <a:avLst/>
                          </a:prstGeom>
                          <a:solidFill>
                            <a:sysClr val="window" lastClr="FFFFFF"/>
                          </a:solidFill>
                          <a:ln w="12700" cap="flat" cmpd="sng" algn="ctr">
                            <a:solidFill>
                              <a:sysClr val="windowText" lastClr="000000"/>
                            </a:solidFill>
                            <a:prstDash val="solid"/>
                            <a:miter lim="800000"/>
                            <a:tailEnd type="triangle"/>
                          </a:ln>
                          <a:effectLst/>
                        </wps:spPr>
                        <wps:bodyPr/>
                      </wps:wsp>
                    </wpg:wgp>
                  </a:graphicData>
                </a:graphic>
                <wp14:sizeRelV relativeFrom="margin">
                  <wp14:pctHeight>0</wp14:pctHeight>
                </wp14:sizeRelV>
              </wp:anchor>
            </w:drawing>
          </mc:Choice>
          <mc:Fallback>
            <w:pict>
              <v:group w14:anchorId="3F80DDA8" id="Группа 10" o:spid="_x0000_s1026" style="position:absolute;left:0;text-align:left;margin-left:52.85pt;margin-top:-.45pt;width:377.4pt;height:453pt;z-index:251670528;mso-height-relative:margin" coordorigin=",-476" coordsize="47929,5721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">
                <v:group id="Группа 11" o:spid="_x0000_s1027" style="position:absolute;top:-476;width:47929;height:57219" coordorigin="228,-452" coordsize="47929,5432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">
                  <v:rect id="Прямоугольник 14" o:spid="_x0000_s1028" style="position:absolute;left:228;top:-452;width:47701;height:380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" fillcolor="window" strokecolor="windowText" strokeweight="1pt">
                    <v:textbox>
                      <w:txbxContent>
                        <w:p w14:paraId="3ABF56F0" w14:textId="77777777" w:rsidR="008461DD" w:rsidRPr="00E8651E" w:rsidRDefault="008461DD" w:rsidP="00634BB1">
                          <w:pPr>
                            <w:spacing w:after="0" w:line="257" w:lineRule="auto"/>
                            <w:jc w:val="center"/>
                            <w:rPr>
                              <w:rFonts w:ascii="Times New Roman" w:hAnsi="Times New Roman" w:cs="Times New Roman"/>
                              <w:sz w:val="24"/>
                              <w:szCs w:val="24"/>
                            </w:rPr>
                          </w:pPr>
                          <w:r w:rsidRPr="00E8651E">
                            <w:rPr>
                              <w:rFonts w:ascii="Times New Roman" w:hAnsi="Times New Roman" w:cs="Times New Roman"/>
                              <w:sz w:val="24"/>
                              <w:szCs w:val="24"/>
                            </w:rPr>
                            <w:t xml:space="preserve">Виды таможенного контроля </w:t>
                          </w:r>
                        </w:p>
                      </w:txbxContent>
                    </v:textbox>
                  </v:rect>
                  <v:rect id="Прямоугольник 16" o:spid="_x0000_s1029" style="position:absolute;left:457;top:6096;width:12954;height:61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" fillcolor="window" strokecolor="windowText" strokeweight="1pt">
                    <v:textbox>
                      <w:txbxContent>
                        <w:p w14:paraId="485747E7" w14:textId="77777777" w:rsidR="008461DD" w:rsidRPr="00D22659" w:rsidRDefault="008461DD" w:rsidP="00634BB1">
                          <w:pPr>
                            <w:jc w:val="center"/>
                            <w:rPr>
                              <w:rFonts w:ascii="Times New Roman" w:hAnsi="Times New Roman" w:cs="Times New Roman"/>
                            </w:rPr>
                          </w:pPr>
                          <w:r w:rsidRPr="00D22659">
                            <w:rPr>
                              <w:rFonts w:ascii="Times New Roman" w:hAnsi="Times New Roman" w:cs="Times New Roman"/>
                            </w:rPr>
                            <w:t>Предварительное информирование</w:t>
                          </w:r>
                        </w:p>
                      </w:txbxContent>
                    </v:textbox>
                  </v:rect>
                  <v:rect id="Прямоугольник 17" o:spid="_x0000_s1030" style="position:absolute;left:17754;top:6096;width:12954;height:61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" fillcolor="window" strokecolor="windowText" strokeweight="1pt">
                    <v:textbox>
                      <w:txbxContent>
                        <w:p w14:paraId="3D798D56" w14:textId="77777777" w:rsidR="008461DD" w:rsidRPr="00D22659" w:rsidRDefault="008461DD" w:rsidP="00634BB1">
                          <w:pPr>
                            <w:jc w:val="center"/>
                            <w:rPr>
                              <w:rFonts w:ascii="Times New Roman" w:hAnsi="Times New Roman" w:cs="Times New Roman"/>
                            </w:rPr>
                          </w:pPr>
                          <w:r w:rsidRPr="00D22659">
                            <w:rPr>
                              <w:rFonts w:ascii="Times New Roman" w:hAnsi="Times New Roman" w:cs="Times New Roman"/>
                            </w:rPr>
                            <w:t xml:space="preserve">Таможенный контроль до выпуска товаров </w:t>
                          </w:r>
                        </w:p>
                      </w:txbxContent>
                    </v:textbox>
                  </v:rect>
                  <v:rect id="Прямоугольник 18" o:spid="_x0000_s1031" style="position:absolute;left:34975;top:6096;width:12954;height:61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" fillcolor="window" strokecolor="windowText" strokeweight="1pt">
                    <v:textbox>
                      <w:txbxContent>
                        <w:p w14:paraId="7A22D3BF" w14:textId="77777777" w:rsidR="008461DD" w:rsidRPr="00D22659" w:rsidRDefault="008461DD" w:rsidP="00634BB1">
                          <w:pPr>
                            <w:jc w:val="center"/>
                            <w:rPr>
                              <w:rFonts w:ascii="Times New Roman" w:hAnsi="Times New Roman" w:cs="Times New Roman"/>
                            </w:rPr>
                          </w:pPr>
                          <w:r w:rsidRPr="00D22659">
                            <w:rPr>
                              <w:rFonts w:ascii="Times New Roman" w:hAnsi="Times New Roman" w:cs="Times New Roman"/>
                            </w:rPr>
                            <w:t>Таможенный контроль после выпуска товаров</w:t>
                          </w:r>
                        </w:p>
                      </w:txbxContent>
                    </v:textbox>
                  </v:rect>
                  <v:rect id="Прямоугольник 19" o:spid="_x0000_s1032" style="position:absolute;left:457;top:15011;width:47701;height:320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" fillcolor="window" strokecolor="windowText" strokeweight="1pt">
                    <v:textbox>
                      <w:txbxContent>
                        <w:p w14:paraId="2D45F443" w14:textId="77777777" w:rsidR="008461DD" w:rsidRPr="00E8651E" w:rsidRDefault="008461DD" w:rsidP="00634BB1">
                          <w:pPr>
                            <w:jc w:val="center"/>
                            <w:rPr>
                              <w:rFonts w:ascii="Times New Roman" w:hAnsi="Times New Roman" w:cs="Times New Roman"/>
                              <w:sz w:val="24"/>
                              <w:szCs w:val="24"/>
                            </w:rPr>
                          </w:pPr>
                          <w:r>
                            <w:rPr>
                              <w:rFonts w:ascii="Times New Roman" w:hAnsi="Times New Roman" w:cs="Times New Roman"/>
                              <w:sz w:val="24"/>
                              <w:szCs w:val="24"/>
                            </w:rPr>
                            <w:t>Формы контроля таможенной стоимости</w:t>
                          </w:r>
                          <w:r w:rsidRPr="00E8651E">
                            <w:rPr>
                              <w:rFonts w:ascii="Times New Roman" w:hAnsi="Times New Roman" w:cs="Times New Roman"/>
                              <w:sz w:val="24"/>
                              <w:szCs w:val="24"/>
                            </w:rPr>
                            <w:t xml:space="preserve"> </w:t>
                          </w:r>
                        </w:p>
                      </w:txbxContent>
                    </v:textbox>
                  </v:rect>
                  <v:rect id="Прямоугольник 20" o:spid="_x0000_s1033" style="position:absolute;left:228;top:29861;width:47930;height:3353;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" fillcolor="window" strokecolor="windowText" strokeweight="1pt">
                    <v:textbox>
                      <w:txbxContent>
                        <w:p w14:paraId="126A5F9F" w14:textId="77777777" w:rsidR="008461DD" w:rsidRPr="00E8651E" w:rsidRDefault="008461DD" w:rsidP="00634BB1">
                          <w:pPr>
                            <w:jc w:val="center"/>
                            <w:rPr>
                              <w:rFonts w:ascii="Times New Roman" w:hAnsi="Times New Roman" w:cs="Times New Roman"/>
                              <w:sz w:val="24"/>
                              <w:szCs w:val="24"/>
                            </w:rPr>
                          </w:pPr>
                          <w:r>
                            <w:rPr>
                              <w:rFonts w:ascii="Times New Roman" w:hAnsi="Times New Roman" w:cs="Times New Roman"/>
                              <w:sz w:val="24"/>
                              <w:szCs w:val="24"/>
                            </w:rPr>
                            <w:t>Методы форм контроля таможенной стоимости</w:t>
                          </w:r>
                        </w:p>
                      </w:txbxContent>
                    </v:textbox>
                  </v:rect>
                  <v:rect id="Прямоугольник 21" o:spid="_x0000_s1034" style="position:absolute;left:457;top:21107;width:12954;height:61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" fillcolor="window" strokecolor="windowText" strokeweight="1pt">
                    <v:textbox>
                      <w:txbxContent>
                        <w:p w14:paraId="457C3042" w14:textId="77777777" w:rsidR="008461DD" w:rsidRPr="00D22659" w:rsidRDefault="008461DD" w:rsidP="00634BB1">
                          <w:pPr>
                            <w:jc w:val="center"/>
                            <w:rPr>
                              <w:rFonts w:ascii="Times New Roman" w:hAnsi="Times New Roman" w:cs="Times New Roman"/>
                            </w:rPr>
                          </w:pPr>
                          <w:r w:rsidRPr="00D22659">
                            <w:rPr>
                              <w:rFonts w:ascii="Times New Roman" w:hAnsi="Times New Roman" w:cs="Times New Roman"/>
                            </w:rPr>
                            <w:t>Предварительн</w:t>
                          </w:r>
                          <w:r>
                            <w:rPr>
                              <w:rFonts w:ascii="Times New Roman" w:hAnsi="Times New Roman" w:cs="Times New Roman"/>
                            </w:rPr>
                            <w:t>ый контроль</w:t>
                          </w:r>
                        </w:p>
                      </w:txbxContent>
                    </v:textbox>
                  </v:rect>
                  <v:rect id="Прямоугольник 22" o:spid="_x0000_s1035" style="position:absolute;left:18135;top:21374;width:12954;height:61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" fillcolor="window" strokecolor="windowText" strokeweight="1pt">
                    <v:textbox>
                      <w:txbxContent>
                        <w:p w14:paraId="611AF4D6" w14:textId="77777777" w:rsidR="008461DD" w:rsidRPr="00D22659" w:rsidRDefault="008461DD" w:rsidP="00634BB1">
                          <w:pPr>
                            <w:jc w:val="center"/>
                            <w:rPr>
                              <w:rFonts w:ascii="Times New Roman" w:hAnsi="Times New Roman" w:cs="Times New Roman"/>
                            </w:rPr>
                          </w:pPr>
                          <w:r>
                            <w:rPr>
                              <w:rFonts w:ascii="Times New Roman" w:hAnsi="Times New Roman" w:cs="Times New Roman"/>
                            </w:rPr>
                            <w:t>Текущий контроль</w:t>
                          </w:r>
                        </w:p>
                      </w:txbxContent>
                    </v:textbox>
                  </v:rect>
                  <v:rect id="Прямоугольник 23" o:spid="_x0000_s1036" style="position:absolute;left:34975;top:21107;width:12954;height:6172;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" fillcolor="window" strokecolor="windowText" strokeweight="1pt">
                    <v:textbox>
                      <w:txbxContent>
                        <w:p w14:paraId="58C334D9" w14:textId="77777777" w:rsidR="008461DD" w:rsidRPr="00D22659" w:rsidRDefault="008461DD" w:rsidP="00634BB1">
                          <w:pPr>
                            <w:jc w:val="center"/>
                            <w:rPr>
                              <w:rFonts w:ascii="Times New Roman" w:hAnsi="Times New Roman" w:cs="Times New Roman"/>
                            </w:rPr>
                          </w:pPr>
                          <w:r>
                            <w:rPr>
                              <w:rFonts w:ascii="Times New Roman" w:hAnsi="Times New Roman" w:cs="Times New Roman"/>
                            </w:rPr>
                            <w:t>Последующий контроль</w:t>
                          </w:r>
                        </w:p>
                      </w:txbxContent>
                    </v:textbox>
                  </v:rect>
                  <v:rect id="Прямоугольник 24" o:spid="_x0000_s1037" style="position:absolute;left:228;top:35120;width:13183;height:18749;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" fillcolor="window" strokecolor="windowText" strokeweight="1pt">
                    <v:textbox>
                      <w:txbxContent>
                        <w:p w14:paraId="51F589E1" w14:textId="77777777" w:rsidR="008461DD" w:rsidRPr="00D22659" w:rsidRDefault="008461DD" w:rsidP="00634BB1">
                          <w:pPr>
                            <w:jc w:val="center"/>
                            <w:rPr>
                              <w:rFonts w:ascii="Times New Roman" w:hAnsi="Times New Roman" w:cs="Times New Roman"/>
                            </w:rPr>
                          </w:pPr>
                          <w:r>
                            <w:rPr>
                              <w:rFonts w:ascii="Times New Roman" w:hAnsi="Times New Roman" w:cs="Times New Roman"/>
                            </w:rPr>
                            <w:t>Аналитический, сравнительный, статистический и управления рисками</w:t>
                          </w:r>
                        </w:p>
                      </w:txbxContent>
                    </v:textbox>
                  </v:rect>
                  <v:rect id="Прямоугольник 25" o:spid="_x0000_s1038" style="position:absolute;left:17754;top:35060;width:12954;height:18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" fillcolor="window" strokecolor="windowText" strokeweight="1pt">
                    <v:textbox>
                      <w:txbxContent>
                        <w:p w14:paraId="3C27F5F0" w14:textId="77777777" w:rsidR="008461DD" w:rsidRPr="00D22659" w:rsidRDefault="008461DD" w:rsidP="00634BB1">
                          <w:pPr>
                            <w:jc w:val="center"/>
                            <w:rPr>
                              <w:rFonts w:ascii="Times New Roman" w:hAnsi="Times New Roman" w:cs="Times New Roman"/>
                            </w:rPr>
                          </w:pPr>
                          <w:r>
                            <w:rPr>
                              <w:rFonts w:ascii="Times New Roman" w:hAnsi="Times New Roman" w:cs="Times New Roman"/>
                            </w:rPr>
                            <w:t>Документальный контроль и анализ рисков</w:t>
                          </w:r>
                        </w:p>
                      </w:txbxContent>
                    </v:textbox>
                  </v:rect>
                  <v:rect id="Прямоугольник 26" o:spid="_x0000_s1039" style="position:absolute;left:34975;top:35071;width:13183;height:1875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" fillcolor="window" strokecolor="windowText" strokeweight="1pt">
                    <v:textbox>
                      <w:txbxContent>
                        <w:p w14:paraId="3FABB840" w14:textId="77777777" w:rsidR="008461DD" w:rsidRPr="00D22659" w:rsidRDefault="008461DD" w:rsidP="00634BB1">
                          <w:pPr>
                            <w:jc w:val="center"/>
                            <w:rPr>
                              <w:rFonts w:ascii="Times New Roman" w:hAnsi="Times New Roman" w:cs="Times New Roman"/>
                            </w:rPr>
                          </w:pPr>
                          <w:r>
                            <w:rPr>
                              <w:rFonts w:ascii="Times New Roman" w:hAnsi="Times New Roman" w:cs="Times New Roman"/>
                            </w:rPr>
                            <w:t>Документальный контроль, аудит, ревизия, бухгалтерский учет, складской учет, коммерческая документация, оперативно-розыскные мероприятия</w:t>
                          </w:r>
                        </w:p>
                      </w:txbxContent>
                    </v:textbox>
                  </v:rect>
                  <v:shapetype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27" o:spid="_x0000_s1040" type="#_x0000_t67" style="position:absolute;left:6134;top:3352;width:457;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" adj="19800" fillcolor="window" strokecolor="windowText" strokeweight="1pt"/>
                  <v:shape id="Стрелка: вниз 28" o:spid="_x0000_s1041" type="#_x0000_t67" style="position:absolute;left:23431;top:3352;width:451;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" adj="19825" fillcolor="window" strokecolor="windowText" strokeweight="1pt"/>
                  <v:shape id="Стрелка: вниз 29" o:spid="_x0000_s1042" type="#_x0000_t67" style="position:absolute;left:40728;top:3352;width:458;height:274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" adj="19800" fillcolor="window" strokecolor="windowText" strokeweight="1pt"/>
                  <v:shapetype id="_x0000_t32" coordsize="21600,21600" o:spt="32" o:oned="t" path="m,l21600,21600e" filled="f">
                    <v:path arrowok="t" fillok="f" o:connecttype="none"/>
                    <o:lock v:ext="edit" shapetype="t"/>
                  </v:shapetype>
                  <v:shape id="Прямая со стрелкой 30" o:spid="_x0000_s1043" type="#_x0000_t32" style="position:absolute;left:6553;top:12268;width:0;height:88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" filled="t" fillcolor="window" strokecolor="windowText" strokeweight="1pt">
                    <v:stroke endarrow="block" joinstyle="miter"/>
                  </v:shape>
                  <v:shape id="Прямая со стрелкой 31" o:spid="_x0000_s1044" type="#_x0000_t32" style="position:absolute;left:24384;top:12268;width:0;height:88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" filled="t" fillcolor="window" strokecolor="windowText" strokeweight="1pt">
                    <v:stroke endarrow="block" joinstyle="miter"/>
                  </v:shape>
                  <v:shape id="Прямая со стрелкой 32" o:spid="_x0000_s1045" type="#_x0000_t32" style="position:absolute;left:41224;top:12268;width:0;height:8839;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" filled="t" fillcolor="window" strokecolor="windowText" strokeweight="1pt">
                    <v:stroke endarrow="block" joinstyle="miter"/>
                  </v:shape>
                  <v:shapetype id="_x0000_t68" coordsize="21600,21600" o:spt="68" adj="5400,5400" path="m0@0l@1@0@1,21600@2,21600@2@0,21600@0,10800,xe">
                    <v:stroke joinstyle="miter"/>
                    <v:formulas>
                      <v:f eqn="val #0"/>
                      <v:f eqn="val #1"/>
                      <v:f eqn="sum 21600 0 #1"/>
                      <v:f eqn="prod #0 #1 10800"/>
                      <v:f eqn="sum #0 0 @3"/>
                    </v:formulas>
                    <v:path o:connecttype="custom" o:connectlocs="10800,0;0,@0;10800,21600;21600,@0" o:connectangles="270,180,90,0" textboxrect="@1,@4,@2,21600"/>
                    <v:handles>
                      <v:h position="#1,#0" xrange="0,10800" yrange="0,21600"/>
                    </v:handles>
                  </v:shapetype>
                  <v:shape id="Стрелка: вверх 33" o:spid="_x0000_s1046" type="#_x0000_t68" style="position:absolute;left:6591;top:27317;width:457;height:251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" adj="1964" fillcolor="window" strokecolor="windowText" strokeweight="1pt"/>
                  <v:shape id="Стрелка: вверх 34" o:spid="_x0000_s1047" type="#_x0000_t68" style="position:absolute;left:24345;top:27317;width:458;height:251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" adj="1964" fillcolor="window" strokecolor="windowText" strokeweight="1pt"/>
                  <v:shape id="Стрелка: вверх 35" o:spid="_x0000_s1048" type="#_x0000_t68" style="position:absolute;left:41186;top:27317;width:457;height:2515;rotation:180;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" adj="1964" fillcolor="window" strokecolor="windowText" strokeweight="1pt"/>
                </v:group>
                <v:shape id="Прямая со стрелкой 36" o:spid="_x0000_s1049" type="#_x0000_t32" style="position:absolute;left:6858;top:35356;width:0;height:16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" filled="t" fillcolor="window" strokecolor="windowText" strokeweight="1pt">
                  <v:stroke endarrow="block" joinstyle="miter"/>
                </v:shape>
                <v:shape id="Прямая со стрелкой 37" o:spid="_x0000_s1050" type="#_x0000_t32" style="position:absolute;left:23774;top:35204;width:0;height:1655;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" filled="t" fillcolor="window" strokecolor="windowText" strokeweight="1pt">
                  <v:stroke endarrow="block" joinstyle="miter"/>
                </v:shape>
                <v:shape id="Прямая со стрелкой 38" o:spid="_x0000_s1051" type="#_x0000_t32" style="position:absolute;left:41376;top:35052;width:0;height:2007;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" filled="t" fillcolor="window" strokecolor="windowText" strokeweight="1pt">
                  <v:stroke endarrow="block" joinstyle="miter"/>
                </v:shape>
              </v:group>
            </w:pict>
          </mc:Fallback>
        </mc:AlternateContent>
      </w:r>
    </w:p>
    <w:p w14:paraId="03F69665" w14:textId="4D61DBE1" w:rsidR="00634BB1" w:rsidRPr="00634BB1" w:rsidRDefault="00634BB1" w:rsidP="00634BB1">
      <w:pPr>
        <w:spacing w:after="0" w:line="360" w:lineRule="auto"/>
        <w:ind w:firstLine="709"/>
        <w:jc w:val="both"/>
        <w:rPr>
          <w:rFonts w:ascii="Times New Roman" w:eastAsia="Calibri" w:hAnsi="Times New Roman" w:cs="Times New Roman"/>
          <w:sz w:val="28"/>
          <w:szCs w:val="28"/>
        </w:rPr>
      </w:pPr>
    </w:p>
    <w:p w14:paraId="25F45179"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p>
    <w:p w14:paraId="28E64BF3"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p>
    <w:p w14:paraId="25FC7D93"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p>
    <w:p w14:paraId="626A3123"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p>
    <w:p w14:paraId="1EEC0986"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p>
    <w:p w14:paraId="60360C2E"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p>
    <w:p w14:paraId="147E2AE3"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p>
    <w:p w14:paraId="474008B4"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p>
    <w:p w14:paraId="7E9AAABE"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p>
    <w:p w14:paraId="0E95348F"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p>
    <w:p w14:paraId="0D0E1D68"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p>
    <w:p w14:paraId="718ACEE2"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p>
    <w:p w14:paraId="752FA577"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p>
    <w:p w14:paraId="3FEBBFB1"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p>
    <w:p w14:paraId="5225ADB6" w14:textId="56552D52" w:rsidR="00634BB1" w:rsidRDefault="00634BB1" w:rsidP="00634BB1">
      <w:pPr>
        <w:spacing w:after="0" w:line="360" w:lineRule="auto"/>
        <w:ind w:firstLine="709"/>
        <w:jc w:val="both"/>
        <w:rPr>
          <w:rFonts w:ascii="Times New Roman" w:eastAsia="Calibri" w:hAnsi="Times New Roman" w:cs="Times New Roman"/>
          <w:sz w:val="28"/>
          <w:szCs w:val="28"/>
        </w:rPr>
      </w:pPr>
    </w:p>
    <w:p w14:paraId="1CB88014" w14:textId="6D163835" w:rsidR="00B864B8" w:rsidRDefault="00B864B8" w:rsidP="00634BB1">
      <w:pPr>
        <w:spacing w:after="0" w:line="360" w:lineRule="auto"/>
        <w:ind w:firstLine="709"/>
        <w:jc w:val="both"/>
        <w:rPr>
          <w:rFonts w:ascii="Times New Roman" w:eastAsia="Calibri" w:hAnsi="Times New Roman" w:cs="Times New Roman"/>
          <w:sz w:val="28"/>
          <w:szCs w:val="28"/>
        </w:rPr>
      </w:pPr>
    </w:p>
    <w:p w14:paraId="08774B42" w14:textId="638EDC25" w:rsidR="00B864B8" w:rsidRDefault="00B864B8" w:rsidP="00634BB1">
      <w:pPr>
        <w:spacing w:after="0" w:line="360" w:lineRule="auto"/>
        <w:ind w:firstLine="709"/>
        <w:jc w:val="both"/>
        <w:rPr>
          <w:rFonts w:ascii="Times New Roman" w:eastAsia="Calibri" w:hAnsi="Times New Roman" w:cs="Times New Roman"/>
          <w:sz w:val="28"/>
          <w:szCs w:val="28"/>
        </w:rPr>
      </w:pPr>
    </w:p>
    <w:p w14:paraId="7AA067FB" w14:textId="77777777" w:rsidR="00B864B8" w:rsidRPr="00634BB1" w:rsidRDefault="00B864B8" w:rsidP="00634BB1">
      <w:pPr>
        <w:spacing w:after="0" w:line="360" w:lineRule="auto"/>
        <w:ind w:firstLine="709"/>
        <w:jc w:val="both"/>
        <w:rPr>
          <w:rFonts w:ascii="Times New Roman" w:eastAsia="Calibri" w:hAnsi="Times New Roman" w:cs="Times New Roman"/>
          <w:sz w:val="28"/>
          <w:szCs w:val="28"/>
        </w:rPr>
      </w:pPr>
    </w:p>
    <w:p w14:paraId="48C89150" w14:textId="044BD9BD" w:rsidR="00634BB1" w:rsidRPr="00634BB1" w:rsidRDefault="00634BB1" w:rsidP="00634BB1">
      <w:pPr>
        <w:spacing w:after="0" w:line="240" w:lineRule="auto"/>
        <w:jc w:val="center"/>
        <w:rPr>
          <w:rFonts w:ascii="Times New Roman" w:eastAsia="Calibri" w:hAnsi="Times New Roman" w:cs="Times New Roman"/>
          <w:sz w:val="28"/>
          <w:szCs w:val="28"/>
        </w:rPr>
      </w:pPr>
      <w:r w:rsidRPr="00634BB1">
        <w:rPr>
          <w:rFonts w:ascii="Times New Roman" w:eastAsia="Calibri" w:hAnsi="Times New Roman" w:cs="Times New Roman"/>
          <w:sz w:val="28"/>
          <w:szCs w:val="28"/>
        </w:rPr>
        <w:t xml:space="preserve">Рис. </w:t>
      </w:r>
      <w:r w:rsidR="005C47E3">
        <w:rPr>
          <w:rFonts w:ascii="Times New Roman" w:eastAsia="Calibri" w:hAnsi="Times New Roman" w:cs="Times New Roman"/>
          <w:sz w:val="28"/>
          <w:szCs w:val="28"/>
        </w:rPr>
        <w:t>7</w:t>
      </w:r>
      <w:r w:rsidRPr="00634BB1">
        <w:rPr>
          <w:rFonts w:ascii="Times New Roman" w:eastAsia="Calibri" w:hAnsi="Times New Roman" w:cs="Times New Roman"/>
          <w:sz w:val="28"/>
          <w:szCs w:val="28"/>
        </w:rPr>
        <w:t>. Взаимосвязь видов таможенного контроля с формами контроля таможенной стоимости</w:t>
      </w:r>
    </w:p>
    <w:p w14:paraId="517B7F8E" w14:textId="6C69E588" w:rsidR="00634BB1" w:rsidRDefault="00634BB1" w:rsidP="00634BB1">
      <w:pPr>
        <w:spacing w:after="0" w:line="240" w:lineRule="auto"/>
        <w:jc w:val="center"/>
        <w:rPr>
          <w:rFonts w:ascii="Times New Roman" w:eastAsia="Calibri" w:hAnsi="Times New Roman" w:cs="Times New Roman"/>
          <w:sz w:val="28"/>
          <w:szCs w:val="28"/>
        </w:rPr>
      </w:pPr>
    </w:p>
    <w:p w14:paraId="359781AD" w14:textId="105699A6" w:rsidR="00634BB1" w:rsidRDefault="00634BB1" w:rsidP="00634BB1">
      <w:pPr>
        <w:spacing w:after="0" w:line="240" w:lineRule="auto"/>
        <w:jc w:val="center"/>
        <w:rPr>
          <w:rFonts w:ascii="Times New Roman" w:eastAsia="Calibri" w:hAnsi="Times New Roman" w:cs="Times New Roman"/>
          <w:sz w:val="28"/>
          <w:szCs w:val="28"/>
        </w:rPr>
      </w:pPr>
    </w:p>
    <w:p w14:paraId="7C8BB5C9"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lastRenderedPageBreak/>
        <w:t>Формы контроля таможенной стоимости неразрывно связаны с видами таможенного контроля:</w:t>
      </w:r>
    </w:p>
    <w:p w14:paraId="16C9D1C3"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 предварительное информирование;</w:t>
      </w:r>
    </w:p>
    <w:p w14:paraId="5780F57D"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 таможенный контроль до выпуска товаров;</w:t>
      </w:r>
    </w:p>
    <w:p w14:paraId="655139F0" w14:textId="0956997A"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 таможенный контроль после выпуска товаров.</w:t>
      </w:r>
    </w:p>
    <w:p w14:paraId="09D94E18"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Предварительный контроль как одна из форм контроля таможенной стоимости представляет собой систему контрольно-аналитических, прогностических и управленческих мер, которые направлены на выявление критериев таможенных правонарушений. Контроль в процессе таможенного декларирования является текущим контролем. Еще одной формой контроля таможенной стоимости является последующий контроль, который заключается в контроле после выпуска товаров в соответствии с заявленной таможенной процедурой.</w:t>
      </w:r>
    </w:p>
    <w:p w14:paraId="7095AA95"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От вида таможенного контроля зависит время его проведения. На проведение таможенного контроля до выпуска товаров для получения объяснений и проверки таможенных и иных документов и (или) сведений таможенным органам отводится 4 часа. При проведении таможенного контроля после выпуска товаров таможенные органы имеют право проводить проверку в течении 3 лет. Если в первом случае таможенные органы за отведенное время используют в основном на поиск источников информации, то во-втором – трехлетний период позволяет наиболее полно провести анализ заявленных сведений и сделать вывод об их достоверности при помощи разных источников публичной информации.</w:t>
      </w:r>
    </w:p>
    <w:p w14:paraId="38BE1B5A" w14:textId="55E1BC69" w:rsidR="00634BB1" w:rsidRPr="00634BB1" w:rsidRDefault="00634BB1" w:rsidP="00634BB1">
      <w:pPr>
        <w:spacing w:after="0" w:line="360" w:lineRule="auto"/>
        <w:ind w:firstLine="709"/>
        <w:jc w:val="both"/>
        <w:rPr>
          <w:rFonts w:ascii="Times New Roman" w:eastAsia="Calibri" w:hAnsi="Times New Roman" w:cs="Times New Roman"/>
          <w:sz w:val="28"/>
          <w:szCs w:val="28"/>
        </w:rPr>
      </w:pPr>
      <w:bookmarkStart w:id="20" w:name="_Hlk105656107"/>
      <w:r w:rsidRPr="00634BB1">
        <w:rPr>
          <w:rFonts w:ascii="Times New Roman" w:eastAsia="Calibri" w:hAnsi="Times New Roman" w:cs="Times New Roman"/>
          <w:sz w:val="28"/>
          <w:szCs w:val="28"/>
        </w:rPr>
        <w:t xml:space="preserve">Независимо на каком этапе таможенного контроля проводиться контроль таможенной стоимости, а именно до и после выпуска товаров, должностные лица таможенных органов руководствуются следующими направлениями контроля таможенной стоимости, которые выполняются последовательно (рис. </w:t>
      </w:r>
      <w:r w:rsidR="005C47E3">
        <w:rPr>
          <w:rFonts w:ascii="Times New Roman" w:eastAsia="Calibri" w:hAnsi="Times New Roman" w:cs="Times New Roman"/>
          <w:sz w:val="28"/>
          <w:szCs w:val="28"/>
        </w:rPr>
        <w:t>8</w:t>
      </w:r>
      <w:r w:rsidRPr="00634BB1">
        <w:rPr>
          <w:rFonts w:ascii="Times New Roman" w:eastAsia="Calibri" w:hAnsi="Times New Roman" w:cs="Times New Roman"/>
          <w:sz w:val="28"/>
          <w:szCs w:val="28"/>
        </w:rPr>
        <w:t xml:space="preserve">.). По итогам данных направлений принимаются решения о выпуске декларации или о </w:t>
      </w:r>
      <w:r w:rsidRPr="00634BB1">
        <w:rPr>
          <w:rFonts w:ascii="Times New Roman" w:eastAsia="Calibri" w:hAnsi="Times New Roman" w:cs="Times New Roman"/>
          <w:sz w:val="28"/>
          <w:szCs w:val="28"/>
        </w:rPr>
        <w:lastRenderedPageBreak/>
        <w:t xml:space="preserve">запросе дополнительных документов и сведений для подтверждения достоверности заявленной таможенной стоимости. </w:t>
      </w:r>
    </w:p>
    <w:p w14:paraId="702C2408"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p>
    <w:bookmarkEnd w:id="20"/>
    <w:p w14:paraId="686F4D07" w14:textId="77777777" w:rsidR="00634BB1" w:rsidRPr="00634BB1" w:rsidRDefault="00634BB1" w:rsidP="00634BB1">
      <w:pPr>
        <w:spacing w:after="0" w:line="240" w:lineRule="auto"/>
        <w:jc w:val="center"/>
        <w:rPr>
          <w:rFonts w:ascii="Times New Roman" w:eastAsia="Calibri" w:hAnsi="Times New Roman" w:cs="Times New Roman"/>
          <w:sz w:val="28"/>
          <w:szCs w:val="28"/>
        </w:rPr>
      </w:pPr>
      <w:r w:rsidRPr="00634BB1">
        <w:rPr>
          <w:rFonts w:ascii="Times New Roman" w:eastAsia="Calibri" w:hAnsi="Times New Roman" w:cs="Times New Roman"/>
          <w:noProof/>
          <w:sz w:val="28"/>
          <w:szCs w:val="28"/>
        </w:rPr>
        <w:drawing>
          <wp:inline distT="0" distB="0" distL="0" distR="0" wp14:anchorId="7C61B066" wp14:editId="4AB93FA0">
            <wp:extent cx="4884420" cy="2156460"/>
            <wp:effectExtent l="38100" t="57150" r="49530" b="53340"/>
            <wp:docPr id="39" name="Схема 39"/>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4" r:lo="rId35" r:qs="rId36" r:cs="rId37"/>
              </a:graphicData>
            </a:graphic>
          </wp:inline>
        </w:drawing>
      </w:r>
    </w:p>
    <w:p w14:paraId="10EAE4C8" w14:textId="0FB7EFD2" w:rsidR="00634BB1" w:rsidRPr="00634BB1" w:rsidRDefault="00634BB1" w:rsidP="00634BB1">
      <w:pPr>
        <w:spacing w:after="0" w:line="240" w:lineRule="auto"/>
        <w:jc w:val="center"/>
        <w:rPr>
          <w:rFonts w:ascii="Times New Roman" w:eastAsia="Calibri" w:hAnsi="Times New Roman" w:cs="Times New Roman"/>
          <w:sz w:val="28"/>
          <w:szCs w:val="28"/>
        </w:rPr>
      </w:pPr>
      <w:r w:rsidRPr="00634BB1">
        <w:rPr>
          <w:rFonts w:ascii="Times New Roman" w:eastAsia="Calibri" w:hAnsi="Times New Roman" w:cs="Times New Roman"/>
          <w:sz w:val="28"/>
          <w:szCs w:val="28"/>
        </w:rPr>
        <w:t xml:space="preserve">Рис. </w:t>
      </w:r>
      <w:r w:rsidR="005C47E3">
        <w:rPr>
          <w:rFonts w:ascii="Times New Roman" w:eastAsia="Calibri" w:hAnsi="Times New Roman" w:cs="Times New Roman"/>
          <w:sz w:val="28"/>
          <w:szCs w:val="28"/>
        </w:rPr>
        <w:t>8</w:t>
      </w:r>
      <w:r w:rsidRPr="00634BB1">
        <w:rPr>
          <w:rFonts w:ascii="Times New Roman" w:eastAsia="Calibri" w:hAnsi="Times New Roman" w:cs="Times New Roman"/>
          <w:sz w:val="28"/>
          <w:szCs w:val="28"/>
        </w:rPr>
        <w:t>. Направления контроля таможенной стоимости товара</w:t>
      </w:r>
    </w:p>
    <w:p w14:paraId="1E577AF7"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p>
    <w:p w14:paraId="1D1512F3"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Таможенное регулирование и таможенный контроль являются составными тесно взаимосвязанными частями процесса ввоза и вывоза товаров с мировых рынков на внутренний рынок страны и, наоборот, с внутреннего рынка страны на мировой рынок. Основными инструментами этой системы являются таможенная пошлина, таможенный тариф и таможенная стоимость, которые тесно взаимосвязаны между собой и используются в процессе регулирования внешней торговли. Они имеют стоимостную природу и должны выстраиваться таким образом, чтобы поддерживать на внутреннем рынке равно конкурентные условия для отечественных и зарубежных товаров с высокой долей добавленной стоимости.</w:t>
      </w:r>
    </w:p>
    <w:p w14:paraId="4C84B71D" w14:textId="77777777" w:rsidR="00634BB1" w:rsidRPr="00634BB1" w:rsidRDefault="00634BB1" w:rsidP="00634BB1">
      <w:pPr>
        <w:spacing w:after="0" w:line="360" w:lineRule="auto"/>
        <w:ind w:firstLine="709"/>
        <w:jc w:val="both"/>
        <w:rPr>
          <w:rFonts w:ascii="Times New Roman" w:eastAsia="Calibri" w:hAnsi="Times New Roman" w:cs="Times New Roman"/>
          <w:sz w:val="28"/>
          <w:szCs w:val="28"/>
        </w:rPr>
      </w:pPr>
      <w:r w:rsidRPr="00634BB1">
        <w:rPr>
          <w:rFonts w:ascii="Times New Roman" w:eastAsia="Calibri" w:hAnsi="Times New Roman" w:cs="Times New Roman"/>
          <w:sz w:val="28"/>
          <w:szCs w:val="28"/>
        </w:rPr>
        <w:t xml:space="preserve">В основе контроля таможенной стоимости лежит проверка правильности и достоверности заявленной таможенной стоимости. Так как таможенная стоимость играет значительную роль в сфере государственного регулирования внешнеторговой деятельности, являясь одной из главных частей таможенного регулирования. Согласно объектом обложения таможенными пошлинами, налогами являются товары, перемещаемые через таможенной границу. Таможенная стоимость служит базой для определения таможенных платежей, </w:t>
      </w:r>
      <w:r w:rsidRPr="00634BB1">
        <w:rPr>
          <w:rFonts w:ascii="Times New Roman" w:eastAsia="Calibri" w:hAnsi="Times New Roman" w:cs="Times New Roman"/>
          <w:sz w:val="28"/>
          <w:szCs w:val="28"/>
        </w:rPr>
        <w:lastRenderedPageBreak/>
        <w:t>которые рассчитываются на основе таможенной стоимости, а также выступает начальной величиной для формирования информации о стоимостном объеме внешней торговли. Исходя из этого для правильного исчисления таможенных платежей необходимо достоверно заявленная таможенная стоимость товара.</w:t>
      </w:r>
    </w:p>
    <w:p w14:paraId="01DA9CAF" w14:textId="77777777" w:rsidR="00CA3384" w:rsidRPr="00734B7B" w:rsidRDefault="00CA3384" w:rsidP="005D224E">
      <w:pPr>
        <w:spacing w:after="0" w:line="360" w:lineRule="auto"/>
        <w:ind w:firstLine="709"/>
        <w:jc w:val="both"/>
        <w:rPr>
          <w:rFonts w:ascii="Times New Roman" w:hAnsi="Times New Roman" w:cs="Times New Roman"/>
          <w:color w:val="000000"/>
          <w:sz w:val="28"/>
          <w:szCs w:val="28"/>
        </w:rPr>
      </w:pPr>
    </w:p>
    <w:p w14:paraId="1CCC2A18" w14:textId="364E4C6F" w:rsidR="005D224E" w:rsidRDefault="005D224E" w:rsidP="005D224E">
      <w:pPr>
        <w:pStyle w:val="a3"/>
        <w:spacing w:before="0" w:line="240" w:lineRule="auto"/>
        <w:jc w:val="center"/>
        <w:rPr>
          <w:color w:val="auto"/>
        </w:rPr>
      </w:pPr>
      <w:bookmarkStart w:id="21" w:name="_Toc152675672"/>
      <w:r w:rsidRPr="00DB5D85">
        <w:rPr>
          <w:color w:val="auto"/>
        </w:rPr>
        <w:t xml:space="preserve">1.3. Правовые основы системы </w:t>
      </w:r>
      <w:r w:rsidR="003B5500" w:rsidRPr="00DB5D85">
        <w:rPr>
          <w:color w:val="auto"/>
        </w:rPr>
        <w:t xml:space="preserve">оценки </w:t>
      </w:r>
      <w:r w:rsidR="003B5500">
        <w:rPr>
          <w:color w:val="auto"/>
        </w:rPr>
        <w:t>и</w:t>
      </w:r>
      <w:r w:rsidR="00634BB1">
        <w:rPr>
          <w:color w:val="auto"/>
        </w:rPr>
        <w:t xml:space="preserve"> контроля </w:t>
      </w:r>
      <w:r w:rsidRPr="00DB5D85">
        <w:rPr>
          <w:color w:val="auto"/>
        </w:rPr>
        <w:t>таможенной стоимости</w:t>
      </w:r>
      <w:bookmarkEnd w:id="21"/>
    </w:p>
    <w:p w14:paraId="5F778E0B" w14:textId="77777777" w:rsidR="005D224E" w:rsidRDefault="005D224E" w:rsidP="005D224E">
      <w:pPr>
        <w:pStyle w:val="a3"/>
        <w:spacing w:before="0" w:line="360" w:lineRule="auto"/>
        <w:jc w:val="center"/>
        <w:rPr>
          <w:color w:val="auto"/>
        </w:rPr>
      </w:pPr>
    </w:p>
    <w:p w14:paraId="08912619" w14:textId="77777777" w:rsidR="005D224E" w:rsidRPr="00A337C1" w:rsidRDefault="005D224E" w:rsidP="005D224E">
      <w:pPr>
        <w:spacing w:after="0" w:line="360" w:lineRule="auto"/>
        <w:ind w:firstLine="709"/>
        <w:jc w:val="both"/>
        <w:rPr>
          <w:rFonts w:ascii="Times New Roman" w:hAnsi="Times New Roman" w:cs="Times New Roman"/>
          <w:sz w:val="28"/>
          <w:szCs w:val="28"/>
          <w:shd w:val="clear" w:color="auto" w:fill="FFFFFF"/>
        </w:rPr>
      </w:pPr>
      <w:r w:rsidRPr="00E03247">
        <w:rPr>
          <w:rFonts w:ascii="Times New Roman" w:hAnsi="Times New Roman" w:cs="Times New Roman"/>
          <w:sz w:val="28"/>
          <w:szCs w:val="28"/>
        </w:rPr>
        <w:t>Главным международным документом, регулирующим таможенную стоимость</w:t>
      </w:r>
      <w:r>
        <w:rPr>
          <w:rFonts w:ascii="Times New Roman" w:hAnsi="Times New Roman" w:cs="Times New Roman"/>
          <w:sz w:val="28"/>
          <w:szCs w:val="28"/>
        </w:rPr>
        <w:t>,</w:t>
      </w:r>
      <w:r w:rsidRPr="00E03247">
        <w:rPr>
          <w:rFonts w:ascii="Times New Roman" w:hAnsi="Times New Roman" w:cs="Times New Roman"/>
          <w:sz w:val="28"/>
          <w:szCs w:val="28"/>
        </w:rPr>
        <w:t xml:space="preserve"> является </w:t>
      </w:r>
      <w:r w:rsidRPr="00E03247">
        <w:rPr>
          <w:rFonts w:ascii="Times New Roman" w:hAnsi="Times New Roman" w:cs="Times New Roman"/>
          <w:sz w:val="28"/>
          <w:szCs w:val="28"/>
          <w:shd w:val="clear" w:color="auto" w:fill="FFFFFF"/>
        </w:rPr>
        <w:t>Генеральное согл</w:t>
      </w:r>
      <w:r>
        <w:rPr>
          <w:rFonts w:ascii="Times New Roman" w:hAnsi="Times New Roman" w:cs="Times New Roman"/>
          <w:sz w:val="28"/>
          <w:szCs w:val="28"/>
          <w:shd w:val="clear" w:color="auto" w:fill="FFFFFF"/>
        </w:rPr>
        <w:t>ашение по тарифам и торговле 19</w:t>
      </w:r>
      <w:r w:rsidRPr="00E03247">
        <w:rPr>
          <w:rFonts w:ascii="Times New Roman" w:hAnsi="Times New Roman" w:cs="Times New Roman"/>
          <w:sz w:val="28"/>
          <w:szCs w:val="28"/>
          <w:shd w:val="clear" w:color="auto" w:fill="FFFFFF"/>
        </w:rPr>
        <w:t>4</w:t>
      </w:r>
      <w:r>
        <w:rPr>
          <w:rFonts w:ascii="Times New Roman" w:hAnsi="Times New Roman" w:cs="Times New Roman"/>
          <w:sz w:val="28"/>
          <w:szCs w:val="28"/>
          <w:shd w:val="clear" w:color="auto" w:fill="FFFFFF"/>
        </w:rPr>
        <w:t>7 года (ГАТТ 1947</w:t>
      </w:r>
      <w:r w:rsidRPr="00E03247">
        <w:rPr>
          <w:rFonts w:ascii="Times New Roman" w:hAnsi="Times New Roman" w:cs="Times New Roman"/>
          <w:sz w:val="28"/>
          <w:szCs w:val="28"/>
          <w:shd w:val="clear" w:color="auto" w:fill="FFFFFF"/>
        </w:rPr>
        <w:t xml:space="preserve">). </w:t>
      </w:r>
      <w:r w:rsidRPr="00E03247">
        <w:rPr>
          <w:rFonts w:ascii="Times New Roman" w:hAnsi="Times New Roman" w:cs="Times New Roman"/>
          <w:sz w:val="28"/>
          <w:szCs w:val="28"/>
        </w:rPr>
        <w:t xml:space="preserve">Термин таможенной стоимости закреплен в VII </w:t>
      </w:r>
      <w:r w:rsidRPr="00E03247">
        <w:rPr>
          <w:rFonts w:ascii="Times New Roman" w:hAnsi="Times New Roman" w:cs="Times New Roman"/>
          <w:sz w:val="28"/>
          <w:szCs w:val="28"/>
          <w:shd w:val="clear" w:color="auto" w:fill="FFFFFF"/>
        </w:rPr>
        <w:t>статье «Оценка товара для таможенной стоимости»</w:t>
      </w:r>
      <w:r>
        <w:rPr>
          <w:rFonts w:ascii="Times New Roman" w:hAnsi="Times New Roman" w:cs="Times New Roman"/>
          <w:sz w:val="28"/>
          <w:szCs w:val="28"/>
          <w:shd w:val="clear" w:color="auto" w:fill="FFFFFF"/>
        </w:rPr>
        <w:t xml:space="preserve">. В положениях ГАТТ-1947 сказано, что основой для оценки товара при ввозе должна быть действительная стоимость ввезенного товара. Не может являться основой стоимость товара отечественного происхождения, произвольная или фиктивная стоимость. Действительная стоимость – цена, по которой, в установленное законодательством время и в месте, товар или аналогичный ему товар продается или предлагается для продажи. При этом должно соблюдаться условие полной конкуренции и наблюдаться обычный ход торговли. Обычный ход торговли означает, что исключается любая сделка, </w:t>
      </w:r>
      <w:r w:rsidRPr="00B02F35">
        <w:rPr>
          <w:rFonts w:ascii="Times New Roman" w:hAnsi="Times New Roman" w:cs="Times New Roman"/>
          <w:sz w:val="28"/>
          <w:szCs w:val="28"/>
          <w:shd w:val="clear" w:color="auto" w:fill="FFFFFF"/>
        </w:rPr>
        <w:t xml:space="preserve">при которой покупатель и продавец не являются независимыми друг от </w:t>
      </w:r>
      <w:r>
        <w:rPr>
          <w:rFonts w:ascii="Times New Roman" w:hAnsi="Times New Roman" w:cs="Times New Roman"/>
          <w:sz w:val="28"/>
          <w:szCs w:val="28"/>
          <w:shd w:val="clear" w:color="auto" w:fill="FFFFFF"/>
        </w:rPr>
        <w:t>друга, и при которой цена не яв</w:t>
      </w:r>
      <w:r w:rsidRPr="00B02F35">
        <w:rPr>
          <w:rFonts w:ascii="Times New Roman" w:hAnsi="Times New Roman" w:cs="Times New Roman"/>
          <w:sz w:val="28"/>
          <w:szCs w:val="28"/>
          <w:shd w:val="clear" w:color="auto" w:fill="FFFFFF"/>
        </w:rPr>
        <w:t>ляется единственным фактором.</w:t>
      </w:r>
      <w:r>
        <w:rPr>
          <w:rFonts w:ascii="Times New Roman" w:hAnsi="Times New Roman" w:cs="Times New Roman"/>
          <w:sz w:val="28"/>
          <w:szCs w:val="28"/>
          <w:shd w:val="clear" w:color="auto" w:fill="FFFFFF"/>
        </w:rPr>
        <w:t xml:space="preserve"> Условие полной конкуренции подразумевает, что договаривающаяся сторона может исклю</w:t>
      </w:r>
      <w:r w:rsidRPr="00B02F35">
        <w:rPr>
          <w:rFonts w:ascii="Times New Roman" w:hAnsi="Times New Roman" w:cs="Times New Roman"/>
          <w:sz w:val="28"/>
          <w:szCs w:val="28"/>
          <w:shd w:val="clear" w:color="auto" w:fill="FFFFFF"/>
        </w:rPr>
        <w:t>чать из рассмотрения цены, предусматривающие специальные скидки тол</w:t>
      </w:r>
      <w:r>
        <w:rPr>
          <w:rFonts w:ascii="Times New Roman" w:hAnsi="Times New Roman" w:cs="Times New Roman"/>
          <w:sz w:val="28"/>
          <w:szCs w:val="28"/>
          <w:shd w:val="clear" w:color="auto" w:fill="FFFFFF"/>
        </w:rPr>
        <w:t>ько в отношении агентов, пользу</w:t>
      </w:r>
      <w:r w:rsidRPr="00B02F35">
        <w:rPr>
          <w:rFonts w:ascii="Times New Roman" w:hAnsi="Times New Roman" w:cs="Times New Roman"/>
          <w:sz w:val="28"/>
          <w:szCs w:val="28"/>
          <w:shd w:val="clear" w:color="auto" w:fill="FFFFFF"/>
        </w:rPr>
        <w:t>ющихся исключительным правом</w:t>
      </w:r>
      <w:r>
        <w:rPr>
          <w:rFonts w:ascii="Times New Roman" w:hAnsi="Times New Roman" w:cs="Times New Roman"/>
          <w:sz w:val="28"/>
          <w:szCs w:val="28"/>
          <w:shd w:val="clear" w:color="auto" w:fill="FFFFFF"/>
        </w:rPr>
        <w:t xml:space="preserve">. </w:t>
      </w:r>
    </w:p>
    <w:p w14:paraId="436F485A" w14:textId="77777777" w:rsidR="005D224E" w:rsidRDefault="005D224E" w:rsidP="005D224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Если действительная стоимость не может быть определена в соответствии с положениями ГАТТ–1947, то для таможенных целей стоимость должна основываться на ближайшем устанавливаемом эк</w:t>
      </w:r>
      <w:r w:rsidRPr="00A337C1">
        <w:rPr>
          <w:rFonts w:ascii="Times New Roman" w:hAnsi="Times New Roman" w:cs="Times New Roman"/>
          <w:sz w:val="28"/>
          <w:szCs w:val="28"/>
          <w:shd w:val="clear" w:color="auto" w:fill="FFFFFF"/>
        </w:rPr>
        <w:t>виваленте такой стоимости.</w:t>
      </w:r>
    </w:p>
    <w:p w14:paraId="1F37722C" w14:textId="50CE3EA7" w:rsidR="005D224E" w:rsidRPr="00E03247"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t xml:space="preserve">Вторым международным документом, регулирующим </w:t>
      </w:r>
      <w:r w:rsidR="003B5500">
        <w:rPr>
          <w:rFonts w:ascii="Times New Roman" w:hAnsi="Times New Roman" w:cs="Times New Roman"/>
          <w:sz w:val="28"/>
          <w:szCs w:val="28"/>
          <w:shd w:val="clear" w:color="auto" w:fill="FFFFFF"/>
        </w:rPr>
        <w:t>вопросы таможенной стоимости,</w:t>
      </w:r>
      <w:r>
        <w:rPr>
          <w:rFonts w:ascii="Times New Roman" w:hAnsi="Times New Roman" w:cs="Times New Roman"/>
          <w:sz w:val="28"/>
          <w:szCs w:val="28"/>
          <w:shd w:val="clear" w:color="auto" w:fill="FFFFFF"/>
        </w:rPr>
        <w:t xml:space="preserve"> является Соглашение</w:t>
      </w:r>
      <w:r w:rsidRPr="00E03247">
        <w:rPr>
          <w:rFonts w:ascii="Times New Roman" w:hAnsi="Times New Roman" w:cs="Times New Roman"/>
          <w:sz w:val="28"/>
          <w:szCs w:val="28"/>
          <w:shd w:val="clear" w:color="auto" w:fill="FFFFFF"/>
        </w:rPr>
        <w:t xml:space="preserve"> о</w:t>
      </w:r>
      <w:r w:rsidRPr="008452E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 xml:space="preserve">применении статьи VII ГАТТ </w:t>
      </w:r>
      <w:r>
        <w:rPr>
          <w:rFonts w:ascii="Times New Roman" w:hAnsi="Times New Roman" w:cs="Times New Roman"/>
          <w:sz w:val="28"/>
          <w:szCs w:val="28"/>
          <w:shd w:val="clear" w:color="auto" w:fill="FFFFFF"/>
        </w:rPr>
        <w:lastRenderedPageBreak/>
        <w:t>ВТО</w:t>
      </w:r>
      <w:r w:rsidRPr="00E03247">
        <w:rPr>
          <w:rFonts w:ascii="Times New Roman" w:hAnsi="Times New Roman" w:cs="Times New Roman"/>
          <w:sz w:val="28"/>
          <w:szCs w:val="28"/>
          <w:shd w:val="clear" w:color="auto" w:fill="FFFFFF"/>
        </w:rPr>
        <w:t>. В ч. 1 статьи 1 Соглашения</w:t>
      </w:r>
      <w:r w:rsidRPr="00885388">
        <w:rPr>
          <w:rFonts w:ascii="Times New Roman" w:hAnsi="Times New Roman" w:cs="Times New Roman"/>
          <w:sz w:val="28"/>
          <w:szCs w:val="28"/>
          <w:shd w:val="clear" w:color="auto" w:fill="FFFFFF"/>
        </w:rPr>
        <w:t xml:space="preserve"> </w:t>
      </w:r>
      <w:r w:rsidRPr="00E03247">
        <w:rPr>
          <w:rFonts w:ascii="Times New Roman" w:hAnsi="Times New Roman" w:cs="Times New Roman"/>
          <w:sz w:val="28"/>
          <w:szCs w:val="28"/>
          <w:shd w:val="clear" w:color="auto" w:fill="FFFFFF"/>
        </w:rPr>
        <w:t>таможенной стоимостью импортируемых товаров является цена сделки, то есть цена, фактически уплаченная или подлежащая уплате за товары, проданные на экспорт в страну импорта. Она должна быть скорректирована в соответств</w:t>
      </w:r>
      <w:r w:rsidRPr="00E03247">
        <w:rPr>
          <w:rFonts w:ascii="Times New Roman" w:hAnsi="Times New Roman" w:cs="Times New Roman"/>
          <w:sz w:val="28"/>
          <w:szCs w:val="28"/>
        </w:rPr>
        <w:t>ии с положениями статьи 8 данного правов</w:t>
      </w:r>
      <w:r>
        <w:rPr>
          <w:rFonts w:ascii="Times New Roman" w:hAnsi="Times New Roman" w:cs="Times New Roman"/>
          <w:sz w:val="28"/>
          <w:szCs w:val="28"/>
        </w:rPr>
        <w:t xml:space="preserve">ого </w:t>
      </w:r>
      <w:r w:rsidRPr="00E03247">
        <w:rPr>
          <w:rFonts w:ascii="Times New Roman" w:hAnsi="Times New Roman" w:cs="Times New Roman"/>
          <w:sz w:val="28"/>
          <w:szCs w:val="28"/>
        </w:rPr>
        <w:t>акта. Так, цена сделки может считаться таможенной стоимостью при выполнении следующих условий:</w:t>
      </w:r>
    </w:p>
    <w:p w14:paraId="2D23D4C8" w14:textId="77777777" w:rsidR="005D224E" w:rsidRPr="00012797"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12797">
        <w:rPr>
          <w:rFonts w:ascii="Times New Roman" w:hAnsi="Times New Roman" w:cs="Times New Roman"/>
          <w:sz w:val="28"/>
          <w:szCs w:val="28"/>
        </w:rPr>
        <w:t>отсутствуют ограничения для</w:t>
      </w:r>
      <w:r>
        <w:rPr>
          <w:rFonts w:ascii="Times New Roman" w:hAnsi="Times New Roman" w:cs="Times New Roman"/>
          <w:sz w:val="28"/>
          <w:szCs w:val="28"/>
        </w:rPr>
        <w:t xml:space="preserve"> использования или распоряжения </w:t>
      </w:r>
      <w:r w:rsidRPr="00012797">
        <w:rPr>
          <w:rFonts w:ascii="Times New Roman" w:hAnsi="Times New Roman" w:cs="Times New Roman"/>
          <w:sz w:val="28"/>
          <w:szCs w:val="28"/>
        </w:rPr>
        <w:t>товарами покупателем распоряжения;</w:t>
      </w:r>
    </w:p>
    <w:p w14:paraId="52A6CB7B" w14:textId="77777777" w:rsidR="005D224E" w:rsidRPr="00012797"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12797">
        <w:rPr>
          <w:rFonts w:ascii="Times New Roman" w:hAnsi="Times New Roman" w:cs="Times New Roman"/>
          <w:sz w:val="28"/>
          <w:szCs w:val="28"/>
        </w:rPr>
        <w:t>цена не зависит от каких-либо условий или обязательств, стоимость которых в отношении оцениваемых товаров не может быть определена</w:t>
      </w:r>
      <w:r>
        <w:rPr>
          <w:rFonts w:ascii="Times New Roman" w:hAnsi="Times New Roman" w:cs="Times New Roman"/>
          <w:sz w:val="28"/>
          <w:szCs w:val="28"/>
        </w:rPr>
        <w:t>;</w:t>
      </w:r>
    </w:p>
    <w:p w14:paraId="63D90AD1" w14:textId="77777777" w:rsidR="005D224E" w:rsidRPr="00012797"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12797">
        <w:rPr>
          <w:rFonts w:ascii="Times New Roman" w:hAnsi="Times New Roman" w:cs="Times New Roman"/>
          <w:sz w:val="28"/>
          <w:szCs w:val="28"/>
        </w:rPr>
        <w:t xml:space="preserve">никакая часть дохода от последующих действий с товаром не перейдет прямо или косвенно продавцу; </w:t>
      </w:r>
    </w:p>
    <w:p w14:paraId="1880EBAA"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12797">
        <w:rPr>
          <w:rFonts w:ascii="Times New Roman" w:hAnsi="Times New Roman" w:cs="Times New Roman"/>
          <w:sz w:val="28"/>
          <w:szCs w:val="28"/>
        </w:rPr>
        <w:t>не выявлена связь между экспортером и импортером, или такая связь является приемлемой для таможенных целей.</w:t>
      </w:r>
    </w:p>
    <w:p w14:paraId="24DD9647" w14:textId="77777777" w:rsidR="005D224E" w:rsidRDefault="005D224E" w:rsidP="005D224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rPr>
        <w:t xml:space="preserve">Базовыми принципами Соглашения о применении статьи </w:t>
      </w:r>
      <w:r w:rsidRPr="00E03247">
        <w:rPr>
          <w:rFonts w:ascii="Times New Roman" w:hAnsi="Times New Roman" w:cs="Times New Roman"/>
          <w:sz w:val="28"/>
          <w:szCs w:val="28"/>
          <w:shd w:val="clear" w:color="auto" w:fill="FFFFFF"/>
        </w:rPr>
        <w:t>VII ГАТТ</w:t>
      </w:r>
      <w:r>
        <w:rPr>
          <w:rFonts w:ascii="Times New Roman" w:hAnsi="Times New Roman" w:cs="Times New Roman"/>
          <w:sz w:val="28"/>
          <w:szCs w:val="28"/>
          <w:shd w:val="clear" w:color="auto" w:fill="FFFFFF"/>
        </w:rPr>
        <w:t xml:space="preserve"> ВТО, на которых строится наднациональное и национальное законодательство являются:</w:t>
      </w:r>
    </w:p>
    <w:p w14:paraId="63DADA23" w14:textId="77777777" w:rsidR="005D224E" w:rsidRDefault="005D224E" w:rsidP="005D224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право таможенной администрации не признавать стоимость сделки, если есть серьезные основания для сомнения в ее достоверности;</w:t>
      </w:r>
    </w:p>
    <w:p w14:paraId="5DEF6155" w14:textId="77777777" w:rsidR="005D224E" w:rsidRDefault="005D224E" w:rsidP="005D224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право импортера на письменное заключение о причинах, по которым цена сделки не была принята, и право доказать обоснованность цены сделки, включая судебный порядок;</w:t>
      </w:r>
    </w:p>
    <w:p w14:paraId="4375D3F1" w14:textId="77777777" w:rsidR="005D224E" w:rsidRDefault="005D224E" w:rsidP="005D224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возможность применения для определения таможенной стоимости пяти дополнительных методов помимо метода, который основан на цене сделки на ввозимый товар;</w:t>
      </w:r>
    </w:p>
    <w:p w14:paraId="1A50AB21" w14:textId="77777777" w:rsidR="005D224E" w:rsidRDefault="005D224E" w:rsidP="005D224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 невозможность применения для определения таможенной стоимости цен реализации на внутреннем рынке страны импортера, цен внутреннего рынка страны экспортера, цен экспорта в третьи страны, минимальных таможенных стоимостей, произвольных или фиктивных стоимостей;</w:t>
      </w:r>
    </w:p>
    <w:p w14:paraId="23C1DE04" w14:textId="77777777" w:rsidR="005D224E" w:rsidRPr="00012797"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shd w:val="clear" w:color="auto" w:fill="FFFFFF"/>
        </w:rPr>
        <w:lastRenderedPageBreak/>
        <w:t xml:space="preserve">– возможность выпуска товаров под гарантию оплаты таможенных платежей в случае задержки процедур контроля таможенной стоимости. </w:t>
      </w:r>
    </w:p>
    <w:p w14:paraId="5F6F0ECD"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оценке приемлемости цены факт того, что существует связь между продавцом и покупателем не</w:t>
      </w:r>
      <w:r w:rsidRPr="00154183">
        <w:rPr>
          <w:rFonts w:ascii="Times New Roman" w:hAnsi="Times New Roman" w:cs="Times New Roman"/>
          <w:sz w:val="28"/>
          <w:szCs w:val="28"/>
        </w:rPr>
        <w:t xml:space="preserve"> является основанием для признания стоимости сделки неприемлемой. </w:t>
      </w:r>
      <w:r>
        <w:rPr>
          <w:rFonts w:ascii="Times New Roman" w:hAnsi="Times New Roman" w:cs="Times New Roman"/>
          <w:sz w:val="28"/>
          <w:szCs w:val="28"/>
        </w:rPr>
        <w:t>При выяснении данного факта изучаю</w:t>
      </w:r>
      <w:r w:rsidRPr="00154183">
        <w:rPr>
          <w:rFonts w:ascii="Times New Roman" w:hAnsi="Times New Roman" w:cs="Times New Roman"/>
          <w:sz w:val="28"/>
          <w:szCs w:val="28"/>
        </w:rPr>
        <w:t>тся обстоятельства, в которых осуществляется продажа</w:t>
      </w:r>
      <w:r>
        <w:rPr>
          <w:rFonts w:ascii="Times New Roman" w:hAnsi="Times New Roman" w:cs="Times New Roman"/>
          <w:sz w:val="28"/>
          <w:szCs w:val="28"/>
        </w:rPr>
        <w:t xml:space="preserve">. Стоимость сделки будет принята, если будет установлено, что </w:t>
      </w:r>
      <w:r w:rsidRPr="00154183">
        <w:rPr>
          <w:rFonts w:ascii="Times New Roman" w:hAnsi="Times New Roman" w:cs="Times New Roman"/>
          <w:sz w:val="28"/>
          <w:szCs w:val="28"/>
        </w:rPr>
        <w:t xml:space="preserve">взаимосвязь продавца и покупателя не повлияла на цену. </w:t>
      </w:r>
      <w:r>
        <w:rPr>
          <w:rFonts w:ascii="Times New Roman" w:hAnsi="Times New Roman" w:cs="Times New Roman"/>
          <w:sz w:val="28"/>
          <w:szCs w:val="28"/>
        </w:rPr>
        <w:t xml:space="preserve">В обратном случае – таможенная администрация </w:t>
      </w:r>
      <w:r w:rsidRPr="00154183">
        <w:rPr>
          <w:rFonts w:ascii="Times New Roman" w:hAnsi="Times New Roman" w:cs="Times New Roman"/>
          <w:sz w:val="28"/>
          <w:szCs w:val="28"/>
        </w:rPr>
        <w:t xml:space="preserve">сообщает о своих аргументах импортеру, и импортеру предоставляется разумная возможность отреагировать. </w:t>
      </w:r>
    </w:p>
    <w:p w14:paraId="4297B606"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наднациональном уровне т</w:t>
      </w:r>
      <w:r w:rsidRPr="00E03247">
        <w:rPr>
          <w:rFonts w:ascii="Times New Roman" w:hAnsi="Times New Roman" w:cs="Times New Roman"/>
          <w:sz w:val="28"/>
          <w:szCs w:val="28"/>
        </w:rPr>
        <w:t xml:space="preserve">аможенная стоимость ввозимых товаров регулируется пятой главой ТК ЕАЭС, которая основана на принципах и правилах, изложенных в </w:t>
      </w:r>
      <w:r w:rsidRPr="00E03247">
        <w:rPr>
          <w:rFonts w:ascii="Times New Roman" w:hAnsi="Times New Roman" w:cs="Times New Roman"/>
          <w:sz w:val="28"/>
          <w:szCs w:val="28"/>
          <w:shd w:val="clear" w:color="auto" w:fill="FFFFFF"/>
        </w:rPr>
        <w:t>ГАТТ</w:t>
      </w:r>
      <w:r>
        <w:rPr>
          <w:rFonts w:ascii="Times New Roman" w:hAnsi="Times New Roman" w:cs="Times New Roman"/>
          <w:sz w:val="28"/>
          <w:szCs w:val="28"/>
          <w:shd w:val="clear" w:color="auto" w:fill="FFFFFF"/>
        </w:rPr>
        <w:t xml:space="preserve"> ВТО</w:t>
      </w:r>
      <w:r w:rsidRPr="00E03247">
        <w:rPr>
          <w:rFonts w:ascii="Times New Roman" w:hAnsi="Times New Roman" w:cs="Times New Roman"/>
          <w:sz w:val="28"/>
          <w:szCs w:val="28"/>
          <w:shd w:val="clear" w:color="auto" w:fill="FFFFFF"/>
        </w:rPr>
        <w:t>,</w:t>
      </w:r>
      <w:r w:rsidRPr="00E03247">
        <w:rPr>
          <w:rFonts w:ascii="Times New Roman" w:hAnsi="Times New Roman" w:cs="Times New Roman"/>
          <w:sz w:val="28"/>
          <w:szCs w:val="28"/>
        </w:rPr>
        <w:t xml:space="preserve"> а также законодательством государств-членов. Определение таможенной стоимости являет</w:t>
      </w:r>
      <w:r>
        <w:rPr>
          <w:rFonts w:ascii="Times New Roman" w:hAnsi="Times New Roman" w:cs="Times New Roman"/>
          <w:sz w:val="28"/>
          <w:szCs w:val="28"/>
        </w:rPr>
        <w:t>ся ответственностью декларанта.</w:t>
      </w:r>
      <w:r w:rsidRPr="00E03247">
        <w:rPr>
          <w:rFonts w:ascii="Times New Roman" w:hAnsi="Times New Roman" w:cs="Times New Roman"/>
          <w:sz w:val="28"/>
          <w:szCs w:val="28"/>
        </w:rPr>
        <w:t xml:space="preserve"> Однако в некоторых случаях, когда таможенные пошлины, налоги, специальные, антидемпинговые, компенсационные пошлины исчисляются таможенным органом, база для исчисления данных платежей устанавливается также таможенным органом. Во всех случаях определение происходит в </w:t>
      </w:r>
      <w:r>
        <w:rPr>
          <w:rFonts w:ascii="Times New Roman" w:hAnsi="Times New Roman" w:cs="Times New Roman"/>
          <w:sz w:val="28"/>
          <w:szCs w:val="28"/>
        </w:rPr>
        <w:t>валюте государства-члена</w:t>
      </w:r>
      <w:r w:rsidRPr="00E03247">
        <w:rPr>
          <w:rFonts w:ascii="Times New Roman" w:hAnsi="Times New Roman" w:cs="Times New Roman"/>
          <w:sz w:val="28"/>
          <w:szCs w:val="28"/>
        </w:rPr>
        <w:t>, в котором будут уплачиваться таможенные платежи. Таможенная стоимость не определяется при помещении товаров под следующие таможенные процедуры:</w:t>
      </w:r>
    </w:p>
    <w:p w14:paraId="512EDF11"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12797">
        <w:rPr>
          <w:rFonts w:ascii="Times New Roman" w:hAnsi="Times New Roman" w:cs="Times New Roman"/>
          <w:sz w:val="28"/>
          <w:szCs w:val="28"/>
        </w:rPr>
        <w:t>таможенного транзита;</w:t>
      </w:r>
    </w:p>
    <w:p w14:paraId="0E3075AE"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12797">
        <w:rPr>
          <w:rFonts w:ascii="Times New Roman" w:hAnsi="Times New Roman" w:cs="Times New Roman"/>
          <w:sz w:val="28"/>
          <w:szCs w:val="28"/>
        </w:rPr>
        <w:t>таможенную процедуру таможенного склада;</w:t>
      </w:r>
    </w:p>
    <w:p w14:paraId="741F5A44"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12797">
        <w:rPr>
          <w:rFonts w:ascii="Times New Roman" w:hAnsi="Times New Roman" w:cs="Times New Roman"/>
          <w:sz w:val="28"/>
          <w:szCs w:val="28"/>
        </w:rPr>
        <w:t>таможенную процедуру уничтожения;</w:t>
      </w:r>
    </w:p>
    <w:p w14:paraId="71D6DC89"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12797">
        <w:rPr>
          <w:rFonts w:ascii="Times New Roman" w:hAnsi="Times New Roman" w:cs="Times New Roman"/>
          <w:sz w:val="28"/>
          <w:szCs w:val="28"/>
        </w:rPr>
        <w:t>таможенную процедуру отказа в пользу государства;</w:t>
      </w:r>
    </w:p>
    <w:p w14:paraId="5AD75B18" w14:textId="77777777" w:rsidR="005D224E" w:rsidRPr="00012797"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012797">
        <w:rPr>
          <w:rFonts w:ascii="Times New Roman" w:hAnsi="Times New Roman" w:cs="Times New Roman"/>
          <w:sz w:val="28"/>
          <w:szCs w:val="28"/>
        </w:rPr>
        <w:t>специальную таможенную процедуру.</w:t>
      </w:r>
    </w:p>
    <w:p w14:paraId="12CE9425" w14:textId="3632C71F" w:rsidR="005D224E" w:rsidRDefault="005D224E" w:rsidP="005D224E">
      <w:pPr>
        <w:spacing w:after="0" w:line="360" w:lineRule="auto"/>
        <w:ind w:firstLine="709"/>
        <w:jc w:val="both"/>
        <w:rPr>
          <w:rFonts w:ascii="Times New Roman" w:hAnsi="Times New Roman" w:cs="Times New Roman"/>
          <w:sz w:val="28"/>
          <w:szCs w:val="28"/>
          <w:shd w:val="clear" w:color="auto" w:fill="FFFFFF"/>
        </w:rPr>
      </w:pPr>
      <w:r w:rsidRPr="00E03247">
        <w:rPr>
          <w:rFonts w:ascii="Times New Roman" w:hAnsi="Times New Roman" w:cs="Times New Roman"/>
          <w:sz w:val="28"/>
          <w:szCs w:val="28"/>
        </w:rPr>
        <w:t xml:space="preserve">Таможенная стоимость товаров должна соответствовать следующим принципам. Во-первых, она не может быть установлена на основе таможенной стоимости, которая является произвольной или фиктивной. Во-вторых, сведения, относящиеся </w:t>
      </w:r>
      <w:r w:rsidR="00A70826" w:rsidRPr="00E03247">
        <w:rPr>
          <w:rFonts w:ascii="Times New Roman" w:hAnsi="Times New Roman" w:cs="Times New Roman"/>
          <w:sz w:val="28"/>
          <w:szCs w:val="28"/>
        </w:rPr>
        <w:t>к ее определению,</w:t>
      </w:r>
      <w:r w:rsidRPr="00E03247">
        <w:rPr>
          <w:rFonts w:ascii="Times New Roman" w:hAnsi="Times New Roman" w:cs="Times New Roman"/>
          <w:sz w:val="28"/>
          <w:szCs w:val="28"/>
        </w:rPr>
        <w:t xml:space="preserve"> должны основываться на достоверной, </w:t>
      </w:r>
      <w:r w:rsidRPr="00E03247">
        <w:rPr>
          <w:rFonts w:ascii="Times New Roman" w:hAnsi="Times New Roman" w:cs="Times New Roman"/>
          <w:sz w:val="28"/>
          <w:szCs w:val="28"/>
        </w:rPr>
        <w:lastRenderedPageBreak/>
        <w:t>количественно определяемой и документально подтвержденной информации. При этом процесс определения таможенной стоимости происходит на общепринятых методах. Это значит, что, несмотря на источники поставки товаров, происхождение товаров, их вида, участников сделки и других факторов процедура определения таможенной стоимости од</w:t>
      </w:r>
      <w:r>
        <w:rPr>
          <w:rFonts w:ascii="Times New Roman" w:hAnsi="Times New Roman" w:cs="Times New Roman"/>
          <w:sz w:val="28"/>
          <w:szCs w:val="28"/>
        </w:rPr>
        <w:t>инаковая во всех случаях</w:t>
      </w:r>
      <w:r>
        <w:rPr>
          <w:rFonts w:ascii="Times New Roman" w:hAnsi="Times New Roman" w:cs="Times New Roman"/>
          <w:sz w:val="28"/>
          <w:szCs w:val="28"/>
          <w:shd w:val="clear" w:color="auto" w:fill="FFFFFF"/>
        </w:rPr>
        <w:t>.</w:t>
      </w:r>
    </w:p>
    <w:p w14:paraId="1A15FC8D" w14:textId="61A10A1C" w:rsidR="005D224E" w:rsidRDefault="005D224E" w:rsidP="005D224E">
      <w:pPr>
        <w:spacing w:after="0" w:line="360" w:lineRule="auto"/>
        <w:ind w:firstLine="709"/>
        <w:jc w:val="both"/>
        <w:rPr>
          <w:rFonts w:ascii="Times New Roman" w:hAnsi="Times New Roman" w:cs="Times New Roman"/>
          <w:sz w:val="28"/>
          <w:szCs w:val="28"/>
          <w:shd w:val="clear" w:color="auto" w:fill="FFFFFF"/>
        </w:rPr>
      </w:pPr>
      <w:r>
        <w:rPr>
          <w:rFonts w:ascii="Times New Roman" w:hAnsi="Times New Roman" w:cs="Times New Roman"/>
          <w:sz w:val="28"/>
          <w:szCs w:val="28"/>
          <w:shd w:val="clear" w:color="auto" w:fill="FFFFFF"/>
        </w:rPr>
        <w:t>Также наднациональный уровень представлен Решениями Коллегии Евразийской экономической комиссии, которые имеют уточнения по применению конкретных методов</w:t>
      </w:r>
      <w:r w:rsidR="002D2F2B" w:rsidRPr="002D2F2B">
        <w:rPr>
          <w:rFonts w:ascii="Times New Roman" w:hAnsi="Times New Roman" w:cs="Times New Roman"/>
          <w:sz w:val="28"/>
          <w:szCs w:val="28"/>
          <w:shd w:val="clear" w:color="auto" w:fill="FFFFFF"/>
        </w:rPr>
        <w:t xml:space="preserve"> (</w:t>
      </w:r>
      <w:r w:rsidR="002D2F2B">
        <w:rPr>
          <w:rFonts w:ascii="Times New Roman" w:hAnsi="Times New Roman" w:cs="Times New Roman"/>
          <w:sz w:val="28"/>
          <w:szCs w:val="28"/>
          <w:shd w:val="clear" w:color="auto" w:fill="FFFFFF"/>
        </w:rPr>
        <w:t xml:space="preserve">Таблица </w:t>
      </w:r>
      <w:r w:rsidR="007560C7">
        <w:rPr>
          <w:rFonts w:ascii="Times New Roman" w:hAnsi="Times New Roman" w:cs="Times New Roman"/>
          <w:sz w:val="28"/>
          <w:szCs w:val="28"/>
          <w:shd w:val="clear" w:color="auto" w:fill="FFFFFF"/>
        </w:rPr>
        <w:t>3</w:t>
      </w:r>
      <w:r w:rsidR="002D2F2B" w:rsidRPr="002D2F2B">
        <w:rPr>
          <w:rFonts w:ascii="Times New Roman" w:hAnsi="Times New Roman" w:cs="Times New Roman"/>
          <w:sz w:val="28"/>
          <w:szCs w:val="28"/>
          <w:shd w:val="clear" w:color="auto" w:fill="FFFFFF"/>
        </w:rPr>
        <w:t>)</w:t>
      </w:r>
      <w:r>
        <w:rPr>
          <w:rFonts w:ascii="Times New Roman" w:hAnsi="Times New Roman" w:cs="Times New Roman"/>
          <w:sz w:val="28"/>
          <w:szCs w:val="28"/>
          <w:shd w:val="clear" w:color="auto" w:fill="FFFFFF"/>
        </w:rPr>
        <w:t>.</w:t>
      </w:r>
    </w:p>
    <w:p w14:paraId="38382DAE" w14:textId="3AB99C92" w:rsidR="005D224E" w:rsidRPr="00E03247" w:rsidRDefault="005D224E" w:rsidP="005D224E">
      <w:pPr>
        <w:spacing w:after="0" w:line="360" w:lineRule="auto"/>
        <w:ind w:firstLine="709"/>
        <w:jc w:val="right"/>
        <w:rPr>
          <w:rFonts w:ascii="Times New Roman" w:hAnsi="Times New Roman" w:cs="Times New Roman"/>
          <w:sz w:val="28"/>
          <w:szCs w:val="28"/>
        </w:rPr>
      </w:pPr>
      <w:r w:rsidRPr="00E03247">
        <w:rPr>
          <w:rFonts w:ascii="Times New Roman" w:hAnsi="Times New Roman" w:cs="Times New Roman"/>
          <w:sz w:val="28"/>
          <w:szCs w:val="28"/>
        </w:rPr>
        <w:t>Та</w:t>
      </w:r>
      <w:r>
        <w:rPr>
          <w:rFonts w:ascii="Times New Roman" w:hAnsi="Times New Roman" w:cs="Times New Roman"/>
          <w:sz w:val="28"/>
          <w:szCs w:val="28"/>
        </w:rPr>
        <w:t>блица 3.</w:t>
      </w:r>
    </w:p>
    <w:p w14:paraId="5E3D40F4" w14:textId="77777777" w:rsidR="005D224E" w:rsidRDefault="005D224E" w:rsidP="005D224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Нормативная правовая база методов определения таможенной стоимости</w:t>
      </w:r>
    </w:p>
    <w:p w14:paraId="6EF1BB30" w14:textId="77777777" w:rsidR="005D224E" w:rsidRPr="00D73598" w:rsidRDefault="005D224E" w:rsidP="005D224E">
      <w:pPr>
        <w:spacing w:after="0" w:line="240" w:lineRule="auto"/>
        <w:jc w:val="center"/>
        <w:rPr>
          <w:rFonts w:ascii="Times New Roman" w:hAnsi="Times New Roman" w:cs="Times New Roman"/>
          <w:sz w:val="28"/>
          <w:szCs w:val="28"/>
        </w:rPr>
      </w:pPr>
    </w:p>
    <w:tbl>
      <w:tblPr>
        <w:tblStyle w:val="a8"/>
        <w:tblW w:w="0" w:type="auto"/>
        <w:tblLook w:val="04A0" w:firstRow="1" w:lastRow="0" w:firstColumn="1" w:lastColumn="0" w:noHBand="0" w:noVBand="1"/>
      </w:tblPr>
      <w:tblGrid>
        <w:gridCol w:w="7566"/>
        <w:gridCol w:w="2061"/>
      </w:tblGrid>
      <w:tr w:rsidR="005D224E" w14:paraId="74F36516" w14:textId="77777777" w:rsidTr="002D2F2B">
        <w:trPr>
          <w:trHeight w:val="883"/>
        </w:trPr>
        <w:tc>
          <w:tcPr>
            <w:tcW w:w="7566" w:type="dxa"/>
          </w:tcPr>
          <w:p w14:paraId="4AA70584" w14:textId="77777777" w:rsidR="005D224E" w:rsidRDefault="005D224E" w:rsidP="008B1391">
            <w:pPr>
              <w:jc w:val="center"/>
              <w:rPr>
                <w:rFonts w:ascii="Times New Roman" w:hAnsi="Times New Roman" w:cs="Times New Roman"/>
                <w:sz w:val="28"/>
                <w:szCs w:val="28"/>
                <w:shd w:val="clear" w:color="auto" w:fill="FFFFFF"/>
              </w:rPr>
            </w:pPr>
            <w:r>
              <w:rPr>
                <w:rFonts w:ascii="Times New Roman" w:hAnsi="Times New Roman" w:cs="Times New Roman"/>
                <w:sz w:val="24"/>
                <w:szCs w:val="28"/>
                <w:shd w:val="clear" w:color="auto" w:fill="FFFFFF"/>
              </w:rPr>
              <w:t>Номер Р</w:t>
            </w:r>
            <w:r w:rsidRPr="00DA2E99">
              <w:rPr>
                <w:rFonts w:ascii="Times New Roman" w:hAnsi="Times New Roman" w:cs="Times New Roman"/>
                <w:sz w:val="24"/>
                <w:szCs w:val="28"/>
                <w:shd w:val="clear" w:color="auto" w:fill="FFFFFF"/>
              </w:rPr>
              <w:t>ешения</w:t>
            </w:r>
            <w:r>
              <w:rPr>
                <w:rFonts w:ascii="Times New Roman" w:hAnsi="Times New Roman" w:cs="Times New Roman"/>
                <w:sz w:val="24"/>
                <w:szCs w:val="28"/>
                <w:shd w:val="clear" w:color="auto" w:fill="FFFFFF"/>
              </w:rPr>
              <w:t xml:space="preserve"> </w:t>
            </w:r>
            <w:r w:rsidRPr="00DA2E99">
              <w:rPr>
                <w:rFonts w:ascii="Times New Roman" w:hAnsi="Times New Roman" w:cs="Times New Roman"/>
                <w:sz w:val="24"/>
                <w:szCs w:val="24"/>
                <w:shd w:val="clear" w:color="auto" w:fill="FFFFFF"/>
              </w:rPr>
              <w:t>Коллегии Евразийской экономическо</w:t>
            </w:r>
            <w:r>
              <w:rPr>
                <w:rFonts w:ascii="Times New Roman" w:hAnsi="Times New Roman" w:cs="Times New Roman"/>
                <w:sz w:val="24"/>
                <w:szCs w:val="24"/>
                <w:shd w:val="clear" w:color="auto" w:fill="FFFFFF"/>
              </w:rPr>
              <w:t>й комиссии</w:t>
            </w:r>
          </w:p>
        </w:tc>
        <w:tc>
          <w:tcPr>
            <w:tcW w:w="2061" w:type="dxa"/>
          </w:tcPr>
          <w:p w14:paraId="048B7425" w14:textId="77777777" w:rsidR="005D224E" w:rsidRPr="00DA2E99" w:rsidRDefault="005D224E" w:rsidP="008B1391">
            <w:pPr>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t>Метод, регулируемый решением</w:t>
            </w:r>
          </w:p>
        </w:tc>
      </w:tr>
      <w:tr w:rsidR="005D224E" w14:paraId="2F8EB7F1" w14:textId="77777777" w:rsidTr="002D2F2B">
        <w:trPr>
          <w:trHeight w:val="1172"/>
        </w:trPr>
        <w:tc>
          <w:tcPr>
            <w:tcW w:w="7566" w:type="dxa"/>
          </w:tcPr>
          <w:p w14:paraId="3879FF4B" w14:textId="77777777" w:rsidR="005D224E" w:rsidRPr="00DA2E99" w:rsidRDefault="005D224E" w:rsidP="008B1391">
            <w:pPr>
              <w:jc w:val="both"/>
              <w:rPr>
                <w:rFonts w:ascii="Times New Roman" w:hAnsi="Times New Roman" w:cs="Times New Roman"/>
                <w:sz w:val="24"/>
                <w:szCs w:val="24"/>
                <w:shd w:val="clear" w:color="auto" w:fill="FFFFFF"/>
              </w:rPr>
            </w:pPr>
            <w:r w:rsidRPr="00DA2E99">
              <w:rPr>
                <w:rFonts w:ascii="Times New Roman" w:hAnsi="Times New Roman" w:cs="Times New Roman"/>
                <w:sz w:val="24"/>
                <w:szCs w:val="24"/>
                <w:shd w:val="clear" w:color="auto" w:fill="FFFFFF"/>
              </w:rPr>
              <w:t>Решение Коллегии Евразийской экономической к</w:t>
            </w:r>
            <w:r>
              <w:rPr>
                <w:rFonts w:ascii="Times New Roman" w:hAnsi="Times New Roman" w:cs="Times New Roman"/>
                <w:sz w:val="24"/>
                <w:szCs w:val="24"/>
                <w:shd w:val="clear" w:color="auto" w:fill="FFFFFF"/>
              </w:rPr>
              <w:t xml:space="preserve">омиссии </w:t>
            </w:r>
            <w:r>
              <w:rPr>
                <w:rFonts w:ascii="Times New Roman" w:hAnsi="Times New Roman" w:cs="Times New Roman"/>
                <w:sz w:val="24"/>
                <w:szCs w:val="24"/>
                <w:shd w:val="clear" w:color="auto" w:fill="FFFFFF"/>
              </w:rPr>
              <w:br/>
              <w:t>от 20 декабря 2012 г. № 283 «</w:t>
            </w:r>
            <w:r w:rsidRPr="00DA2E99">
              <w:rPr>
                <w:rFonts w:ascii="Times New Roman" w:hAnsi="Times New Roman" w:cs="Times New Roman"/>
                <w:sz w:val="24"/>
                <w:szCs w:val="24"/>
                <w:shd w:val="clear" w:color="auto" w:fill="FFFFFF"/>
              </w:rPr>
              <w:t>О применении метода определени</w:t>
            </w:r>
            <w:r>
              <w:rPr>
                <w:rFonts w:ascii="Times New Roman" w:hAnsi="Times New Roman" w:cs="Times New Roman"/>
                <w:sz w:val="24"/>
                <w:szCs w:val="24"/>
                <w:shd w:val="clear" w:color="auto" w:fill="FFFFFF"/>
              </w:rPr>
              <w:t xml:space="preserve">я таможенной стоимости товаров </w:t>
            </w:r>
            <w:r w:rsidRPr="00DA2E99">
              <w:rPr>
                <w:rFonts w:ascii="Times New Roman" w:hAnsi="Times New Roman" w:cs="Times New Roman"/>
                <w:sz w:val="24"/>
                <w:szCs w:val="24"/>
                <w:shd w:val="clear" w:color="auto" w:fill="FFFFFF"/>
              </w:rPr>
              <w:t>по стоимости сделки с ввозимыми товарами (метод 1)</w:t>
            </w:r>
            <w:r>
              <w:rPr>
                <w:rFonts w:ascii="Times New Roman" w:hAnsi="Times New Roman" w:cs="Times New Roman"/>
                <w:sz w:val="24"/>
                <w:szCs w:val="24"/>
                <w:shd w:val="clear" w:color="auto" w:fill="FFFFFF"/>
              </w:rPr>
              <w:t>»</w:t>
            </w:r>
          </w:p>
        </w:tc>
        <w:tc>
          <w:tcPr>
            <w:tcW w:w="2061" w:type="dxa"/>
          </w:tcPr>
          <w:p w14:paraId="3B43B54A" w14:textId="77777777" w:rsidR="005D224E" w:rsidRPr="00012797" w:rsidRDefault="005D224E" w:rsidP="008B1391">
            <w:pPr>
              <w:jc w:val="both"/>
              <w:rPr>
                <w:rFonts w:ascii="Times New Roman" w:hAnsi="Times New Roman" w:cs="Times New Roman"/>
                <w:sz w:val="24"/>
                <w:szCs w:val="28"/>
                <w:shd w:val="clear" w:color="auto" w:fill="FFFFFF"/>
              </w:rPr>
            </w:pPr>
            <w:r>
              <w:rPr>
                <w:rFonts w:ascii="Times New Roman" w:hAnsi="Times New Roman" w:cs="Times New Roman"/>
                <w:sz w:val="24"/>
                <w:szCs w:val="28"/>
                <w:shd w:val="clear" w:color="auto" w:fill="FFFFFF"/>
              </w:rPr>
              <w:t>Метод 1</w:t>
            </w:r>
          </w:p>
        </w:tc>
      </w:tr>
      <w:tr w:rsidR="005D224E" w14:paraId="78083D0A" w14:textId="77777777" w:rsidTr="002D2F2B">
        <w:trPr>
          <w:trHeight w:val="1172"/>
        </w:trPr>
        <w:tc>
          <w:tcPr>
            <w:tcW w:w="7566" w:type="dxa"/>
          </w:tcPr>
          <w:p w14:paraId="11336D26" w14:textId="77777777" w:rsidR="005D224E" w:rsidRPr="00012797" w:rsidRDefault="005D224E" w:rsidP="008B1391">
            <w:pPr>
              <w:jc w:val="both"/>
              <w:rPr>
                <w:rFonts w:ascii="Times New Roman" w:hAnsi="Times New Roman" w:cs="Times New Roman"/>
                <w:sz w:val="24"/>
                <w:szCs w:val="24"/>
                <w:shd w:val="clear" w:color="auto" w:fill="FFFFFF"/>
              </w:rPr>
            </w:pPr>
            <w:r w:rsidRPr="00DA2E99">
              <w:rPr>
                <w:rFonts w:ascii="Times New Roman" w:hAnsi="Times New Roman" w:cs="Times New Roman"/>
                <w:sz w:val="24"/>
                <w:szCs w:val="24"/>
                <w:shd w:val="clear" w:color="auto" w:fill="FFFFFF"/>
              </w:rPr>
              <w:t>Решение Коллегии Евразийской экономическо</w:t>
            </w:r>
            <w:r>
              <w:rPr>
                <w:rFonts w:ascii="Times New Roman" w:hAnsi="Times New Roman" w:cs="Times New Roman"/>
                <w:sz w:val="24"/>
                <w:szCs w:val="24"/>
                <w:shd w:val="clear" w:color="auto" w:fill="FFFFFF"/>
              </w:rPr>
              <w:t xml:space="preserve">й комиссии 30 октября 2012 г. № 202 </w:t>
            </w:r>
            <w:r w:rsidRPr="00DA2E99">
              <w:rPr>
                <w:rFonts w:ascii="Times New Roman" w:hAnsi="Times New Roman" w:cs="Times New Roman"/>
                <w:sz w:val="24"/>
                <w:szCs w:val="24"/>
                <w:shd w:val="clear" w:color="auto" w:fill="FFFFFF"/>
              </w:rPr>
              <w:t xml:space="preserve">«О применении методов определения таможенной </w:t>
            </w:r>
            <w:r>
              <w:rPr>
                <w:rFonts w:ascii="Times New Roman" w:hAnsi="Times New Roman" w:cs="Times New Roman"/>
                <w:sz w:val="24"/>
                <w:szCs w:val="24"/>
                <w:shd w:val="clear" w:color="auto" w:fill="FFFFFF"/>
              </w:rPr>
              <w:t xml:space="preserve">стоимости товаров по стоимости </w:t>
            </w:r>
            <w:r w:rsidRPr="00DA2E99">
              <w:rPr>
                <w:rFonts w:ascii="Times New Roman" w:hAnsi="Times New Roman" w:cs="Times New Roman"/>
                <w:sz w:val="24"/>
                <w:szCs w:val="24"/>
                <w:shd w:val="clear" w:color="auto" w:fill="FFFFFF"/>
              </w:rPr>
              <w:t>сделки с идентичными то</w:t>
            </w:r>
            <w:r>
              <w:rPr>
                <w:rFonts w:ascii="Times New Roman" w:hAnsi="Times New Roman" w:cs="Times New Roman"/>
                <w:sz w:val="24"/>
                <w:szCs w:val="24"/>
                <w:shd w:val="clear" w:color="auto" w:fill="FFFFFF"/>
              </w:rPr>
              <w:t xml:space="preserve">варами (метод 2) и по стоимости сделки </w:t>
            </w:r>
            <w:r w:rsidRPr="00DA2E99">
              <w:rPr>
                <w:rFonts w:ascii="Times New Roman" w:hAnsi="Times New Roman" w:cs="Times New Roman"/>
                <w:sz w:val="24"/>
                <w:szCs w:val="24"/>
                <w:shd w:val="clear" w:color="auto" w:fill="FFFFFF"/>
              </w:rPr>
              <w:t>с однородными товарами (метод 3)»</w:t>
            </w:r>
          </w:p>
        </w:tc>
        <w:tc>
          <w:tcPr>
            <w:tcW w:w="2061" w:type="dxa"/>
          </w:tcPr>
          <w:p w14:paraId="7CEF010D" w14:textId="77777777" w:rsidR="005D224E" w:rsidRPr="00DA2E99" w:rsidRDefault="005D224E" w:rsidP="008B1391">
            <w:pPr>
              <w:jc w:val="both"/>
              <w:rPr>
                <w:rFonts w:ascii="Times New Roman" w:hAnsi="Times New Roman" w:cs="Times New Roman"/>
                <w:szCs w:val="28"/>
                <w:shd w:val="clear" w:color="auto" w:fill="FFFFFF"/>
              </w:rPr>
            </w:pPr>
            <w:r>
              <w:rPr>
                <w:rFonts w:ascii="Times New Roman" w:hAnsi="Times New Roman" w:cs="Times New Roman"/>
                <w:szCs w:val="28"/>
                <w:shd w:val="clear" w:color="auto" w:fill="FFFFFF"/>
              </w:rPr>
              <w:t>Метод 2, Метод 3</w:t>
            </w:r>
          </w:p>
        </w:tc>
      </w:tr>
      <w:tr w:rsidR="005D224E" w14:paraId="584949F8" w14:textId="77777777" w:rsidTr="002D2F2B">
        <w:trPr>
          <w:trHeight w:val="883"/>
        </w:trPr>
        <w:tc>
          <w:tcPr>
            <w:tcW w:w="7566" w:type="dxa"/>
          </w:tcPr>
          <w:p w14:paraId="6F1AA96F" w14:textId="77777777" w:rsidR="005D224E" w:rsidRPr="00DA2E99" w:rsidRDefault="005D224E" w:rsidP="008B1391">
            <w:pPr>
              <w:jc w:val="both"/>
              <w:rPr>
                <w:rFonts w:ascii="Times New Roman" w:hAnsi="Times New Roman" w:cs="Times New Roman"/>
                <w:sz w:val="24"/>
                <w:szCs w:val="24"/>
                <w:shd w:val="clear" w:color="auto" w:fill="FFFFFF"/>
              </w:rPr>
            </w:pPr>
            <w:r w:rsidRPr="00DA2E99">
              <w:rPr>
                <w:rFonts w:ascii="Times New Roman" w:hAnsi="Times New Roman" w:cs="Times New Roman"/>
                <w:sz w:val="24"/>
                <w:szCs w:val="24"/>
                <w:shd w:val="clear" w:color="auto" w:fill="FFFFFF"/>
              </w:rPr>
              <w:t>Решение Коллегии Евразийской экономической комисс</w:t>
            </w:r>
            <w:r>
              <w:rPr>
                <w:rFonts w:ascii="Times New Roman" w:hAnsi="Times New Roman" w:cs="Times New Roman"/>
                <w:sz w:val="24"/>
                <w:szCs w:val="24"/>
                <w:shd w:val="clear" w:color="auto" w:fill="FFFFFF"/>
              </w:rPr>
              <w:t>ии от 13 ноября 2012 г. № 214 «</w:t>
            </w:r>
            <w:r w:rsidRPr="00DA2E99">
              <w:rPr>
                <w:rFonts w:ascii="Times New Roman" w:hAnsi="Times New Roman" w:cs="Times New Roman"/>
                <w:sz w:val="24"/>
                <w:szCs w:val="24"/>
                <w:shd w:val="clear" w:color="auto" w:fill="FFFFFF"/>
              </w:rPr>
              <w:t>О применении</w:t>
            </w:r>
            <w:r>
              <w:rPr>
                <w:rFonts w:ascii="Times New Roman" w:hAnsi="Times New Roman" w:cs="Times New Roman"/>
                <w:sz w:val="24"/>
                <w:szCs w:val="24"/>
                <w:shd w:val="clear" w:color="auto" w:fill="FFFFFF"/>
              </w:rPr>
              <w:t xml:space="preserve"> метода вычитания (метод 4) при определении </w:t>
            </w:r>
            <w:r w:rsidRPr="00DA2E99">
              <w:rPr>
                <w:rFonts w:ascii="Times New Roman" w:hAnsi="Times New Roman" w:cs="Times New Roman"/>
                <w:sz w:val="24"/>
                <w:szCs w:val="24"/>
                <w:shd w:val="clear" w:color="auto" w:fill="FFFFFF"/>
              </w:rPr>
              <w:t>таможенной стоимости товаров</w:t>
            </w:r>
            <w:r>
              <w:rPr>
                <w:rFonts w:ascii="Times New Roman" w:hAnsi="Times New Roman" w:cs="Times New Roman"/>
                <w:sz w:val="24"/>
                <w:szCs w:val="24"/>
                <w:shd w:val="clear" w:color="auto" w:fill="FFFFFF"/>
              </w:rPr>
              <w:t>»</w:t>
            </w:r>
          </w:p>
        </w:tc>
        <w:tc>
          <w:tcPr>
            <w:tcW w:w="2061" w:type="dxa"/>
          </w:tcPr>
          <w:p w14:paraId="6CE2EA74" w14:textId="77777777" w:rsidR="005D224E" w:rsidRDefault="005D224E" w:rsidP="008B1391">
            <w:pPr>
              <w:jc w:val="both"/>
              <w:rPr>
                <w:rFonts w:ascii="Times New Roman" w:hAnsi="Times New Roman" w:cs="Times New Roman"/>
                <w:sz w:val="28"/>
                <w:szCs w:val="28"/>
                <w:shd w:val="clear" w:color="auto" w:fill="FFFFFF"/>
              </w:rPr>
            </w:pPr>
            <w:r w:rsidRPr="00DA2E99">
              <w:rPr>
                <w:rFonts w:ascii="Times New Roman" w:hAnsi="Times New Roman" w:cs="Times New Roman"/>
                <w:sz w:val="24"/>
                <w:szCs w:val="28"/>
                <w:shd w:val="clear" w:color="auto" w:fill="FFFFFF"/>
              </w:rPr>
              <w:t>Метод 4</w:t>
            </w:r>
          </w:p>
        </w:tc>
      </w:tr>
      <w:tr w:rsidR="005D224E" w14:paraId="1FE113D7" w14:textId="77777777" w:rsidTr="002D2F2B">
        <w:trPr>
          <w:trHeight w:val="883"/>
        </w:trPr>
        <w:tc>
          <w:tcPr>
            <w:tcW w:w="7566" w:type="dxa"/>
          </w:tcPr>
          <w:p w14:paraId="0EA7833E" w14:textId="77777777" w:rsidR="005D224E" w:rsidRPr="00DA2E99" w:rsidRDefault="005D224E" w:rsidP="008B1391">
            <w:pPr>
              <w:jc w:val="both"/>
              <w:rPr>
                <w:rFonts w:ascii="Times New Roman" w:hAnsi="Times New Roman" w:cs="Times New Roman"/>
                <w:sz w:val="24"/>
                <w:szCs w:val="24"/>
                <w:shd w:val="clear" w:color="auto" w:fill="FFFFFF"/>
              </w:rPr>
            </w:pPr>
            <w:r w:rsidRPr="00DA2E99">
              <w:rPr>
                <w:rFonts w:ascii="Times New Roman" w:hAnsi="Times New Roman" w:cs="Times New Roman"/>
                <w:sz w:val="24"/>
                <w:szCs w:val="24"/>
                <w:shd w:val="clear" w:color="auto" w:fill="FFFFFF"/>
              </w:rPr>
              <w:t xml:space="preserve">Решение Коллегии Евразийской экономической </w:t>
            </w:r>
            <w:r>
              <w:rPr>
                <w:rFonts w:ascii="Times New Roman" w:hAnsi="Times New Roman" w:cs="Times New Roman"/>
                <w:sz w:val="24"/>
                <w:szCs w:val="24"/>
                <w:shd w:val="clear" w:color="auto" w:fill="FFFFFF"/>
              </w:rPr>
              <w:t>комиссии от 12 декабря 2012 г. №</w:t>
            </w:r>
            <w:r w:rsidRPr="00DA2E99">
              <w:rPr>
                <w:rFonts w:ascii="Times New Roman" w:hAnsi="Times New Roman" w:cs="Times New Roman"/>
                <w:sz w:val="24"/>
                <w:szCs w:val="24"/>
                <w:shd w:val="clear" w:color="auto" w:fill="FFFFFF"/>
              </w:rPr>
              <w:t xml:space="preserve"> 273</w:t>
            </w:r>
            <w:r>
              <w:rPr>
                <w:rFonts w:ascii="Times New Roman" w:hAnsi="Times New Roman" w:cs="Times New Roman"/>
                <w:sz w:val="24"/>
                <w:szCs w:val="24"/>
                <w:shd w:val="clear" w:color="auto" w:fill="FFFFFF"/>
              </w:rPr>
              <w:t xml:space="preserve"> «</w:t>
            </w:r>
            <w:r w:rsidRPr="00DA2E99">
              <w:rPr>
                <w:rFonts w:ascii="Times New Roman" w:hAnsi="Times New Roman" w:cs="Times New Roman"/>
                <w:sz w:val="24"/>
                <w:szCs w:val="24"/>
                <w:shd w:val="clear" w:color="auto" w:fill="FFFFFF"/>
              </w:rPr>
              <w:t xml:space="preserve">О применении метода сложения (метод 5) при </w:t>
            </w:r>
            <w:r>
              <w:rPr>
                <w:rFonts w:ascii="Times New Roman" w:hAnsi="Times New Roman" w:cs="Times New Roman"/>
                <w:sz w:val="24"/>
                <w:szCs w:val="24"/>
                <w:shd w:val="clear" w:color="auto" w:fill="FFFFFF"/>
              </w:rPr>
              <w:t xml:space="preserve">определении </w:t>
            </w:r>
            <w:r w:rsidRPr="00DA2E99">
              <w:rPr>
                <w:rFonts w:ascii="Times New Roman" w:hAnsi="Times New Roman" w:cs="Times New Roman"/>
                <w:sz w:val="24"/>
                <w:szCs w:val="24"/>
                <w:shd w:val="clear" w:color="auto" w:fill="FFFFFF"/>
              </w:rPr>
              <w:t>таможенной стоимости товаров</w:t>
            </w:r>
            <w:r>
              <w:rPr>
                <w:rFonts w:ascii="Times New Roman" w:hAnsi="Times New Roman" w:cs="Times New Roman"/>
                <w:sz w:val="24"/>
                <w:szCs w:val="24"/>
                <w:shd w:val="clear" w:color="auto" w:fill="FFFFFF"/>
              </w:rPr>
              <w:t>»</w:t>
            </w:r>
          </w:p>
        </w:tc>
        <w:tc>
          <w:tcPr>
            <w:tcW w:w="2061" w:type="dxa"/>
          </w:tcPr>
          <w:p w14:paraId="4B629453" w14:textId="77777777" w:rsidR="005D224E" w:rsidRPr="00DA2E99" w:rsidRDefault="005D224E" w:rsidP="008B1391">
            <w:pPr>
              <w:jc w:val="both"/>
              <w:rPr>
                <w:rFonts w:ascii="Times New Roman" w:hAnsi="Times New Roman" w:cs="Times New Roman"/>
                <w:sz w:val="24"/>
                <w:szCs w:val="28"/>
                <w:shd w:val="clear" w:color="auto" w:fill="FFFFFF"/>
              </w:rPr>
            </w:pPr>
            <w:r w:rsidRPr="00DA2E99">
              <w:rPr>
                <w:rFonts w:ascii="Times New Roman" w:hAnsi="Times New Roman" w:cs="Times New Roman"/>
                <w:sz w:val="24"/>
                <w:szCs w:val="28"/>
                <w:shd w:val="clear" w:color="auto" w:fill="FFFFFF"/>
              </w:rPr>
              <w:t xml:space="preserve">Метод </w:t>
            </w:r>
            <w:r>
              <w:rPr>
                <w:rFonts w:ascii="Times New Roman" w:hAnsi="Times New Roman" w:cs="Times New Roman"/>
                <w:sz w:val="24"/>
                <w:szCs w:val="28"/>
                <w:shd w:val="clear" w:color="auto" w:fill="FFFFFF"/>
              </w:rPr>
              <w:t>5</w:t>
            </w:r>
          </w:p>
        </w:tc>
      </w:tr>
      <w:tr w:rsidR="005D224E" w14:paraId="3A1B6161" w14:textId="77777777" w:rsidTr="002D2F2B">
        <w:trPr>
          <w:trHeight w:val="883"/>
        </w:trPr>
        <w:tc>
          <w:tcPr>
            <w:tcW w:w="7566" w:type="dxa"/>
          </w:tcPr>
          <w:p w14:paraId="18C2D0DC" w14:textId="77777777" w:rsidR="005D224E" w:rsidRPr="00DA2E99" w:rsidRDefault="005D224E" w:rsidP="008B1391">
            <w:pPr>
              <w:jc w:val="both"/>
              <w:rPr>
                <w:rFonts w:ascii="Times New Roman" w:hAnsi="Times New Roman" w:cs="Times New Roman"/>
                <w:sz w:val="24"/>
                <w:szCs w:val="24"/>
                <w:shd w:val="clear" w:color="auto" w:fill="FFFFFF"/>
              </w:rPr>
            </w:pPr>
            <w:r w:rsidRPr="00DA2E99">
              <w:rPr>
                <w:rFonts w:ascii="Times New Roman" w:hAnsi="Times New Roman" w:cs="Times New Roman"/>
                <w:sz w:val="24"/>
                <w:szCs w:val="24"/>
                <w:shd w:val="clear" w:color="auto" w:fill="FFFFFF"/>
              </w:rPr>
              <w:t>Решение Коллегии Евразийской экономической</w:t>
            </w:r>
            <w:r>
              <w:rPr>
                <w:rFonts w:ascii="Times New Roman" w:hAnsi="Times New Roman" w:cs="Times New Roman"/>
                <w:sz w:val="24"/>
                <w:szCs w:val="24"/>
                <w:shd w:val="clear" w:color="auto" w:fill="FFFFFF"/>
              </w:rPr>
              <w:t xml:space="preserve"> комиссии</w:t>
            </w:r>
            <w:r>
              <w:rPr>
                <w:rFonts w:ascii="Times New Roman" w:hAnsi="Times New Roman" w:cs="Times New Roman"/>
                <w:sz w:val="24"/>
                <w:szCs w:val="24"/>
                <w:shd w:val="clear" w:color="auto" w:fill="FFFFFF"/>
              </w:rPr>
              <w:br/>
              <w:t>от 6 августа 2019 г. №</w:t>
            </w:r>
            <w:r w:rsidRPr="00DA2E99">
              <w:rPr>
                <w:rFonts w:ascii="Times New Roman" w:hAnsi="Times New Roman" w:cs="Times New Roman"/>
                <w:sz w:val="24"/>
                <w:szCs w:val="24"/>
                <w:shd w:val="clear" w:color="auto" w:fill="FFFFFF"/>
              </w:rPr>
              <w:t xml:space="preserve"> 138</w:t>
            </w:r>
            <w:r>
              <w:rPr>
                <w:rFonts w:ascii="Times New Roman" w:hAnsi="Times New Roman" w:cs="Times New Roman"/>
                <w:sz w:val="24"/>
                <w:szCs w:val="24"/>
                <w:shd w:val="clear" w:color="auto" w:fill="FFFFFF"/>
              </w:rPr>
              <w:t xml:space="preserve"> «</w:t>
            </w:r>
            <w:r w:rsidRPr="00DA2E99">
              <w:rPr>
                <w:rFonts w:ascii="Times New Roman" w:hAnsi="Times New Roman" w:cs="Times New Roman"/>
                <w:sz w:val="24"/>
                <w:szCs w:val="24"/>
                <w:shd w:val="clear" w:color="auto" w:fill="FFFFFF"/>
              </w:rPr>
              <w:t xml:space="preserve">О применении резервного метода (метод </w:t>
            </w:r>
            <w:r>
              <w:rPr>
                <w:rFonts w:ascii="Times New Roman" w:hAnsi="Times New Roman" w:cs="Times New Roman"/>
                <w:sz w:val="24"/>
                <w:szCs w:val="24"/>
                <w:shd w:val="clear" w:color="auto" w:fill="FFFFFF"/>
              </w:rPr>
              <w:t xml:space="preserve">6) </w:t>
            </w:r>
            <w:r w:rsidRPr="00DA2E99">
              <w:rPr>
                <w:rFonts w:ascii="Times New Roman" w:hAnsi="Times New Roman" w:cs="Times New Roman"/>
                <w:sz w:val="24"/>
                <w:szCs w:val="24"/>
                <w:shd w:val="clear" w:color="auto" w:fill="FFFFFF"/>
              </w:rPr>
              <w:t>при определении таможенной стоимости товаров</w:t>
            </w:r>
            <w:r>
              <w:rPr>
                <w:rFonts w:ascii="Times New Roman" w:hAnsi="Times New Roman" w:cs="Times New Roman"/>
                <w:sz w:val="24"/>
                <w:szCs w:val="24"/>
                <w:shd w:val="clear" w:color="auto" w:fill="FFFFFF"/>
              </w:rPr>
              <w:t>»</w:t>
            </w:r>
          </w:p>
        </w:tc>
        <w:tc>
          <w:tcPr>
            <w:tcW w:w="2061" w:type="dxa"/>
          </w:tcPr>
          <w:p w14:paraId="04D352C7" w14:textId="77777777" w:rsidR="005D224E" w:rsidRPr="00DA2E99" w:rsidRDefault="005D224E" w:rsidP="008B1391">
            <w:pPr>
              <w:jc w:val="both"/>
              <w:rPr>
                <w:rFonts w:ascii="Times New Roman" w:hAnsi="Times New Roman" w:cs="Times New Roman"/>
                <w:sz w:val="24"/>
                <w:szCs w:val="28"/>
                <w:shd w:val="clear" w:color="auto" w:fill="FFFFFF"/>
              </w:rPr>
            </w:pPr>
            <w:r w:rsidRPr="00DA2E99">
              <w:rPr>
                <w:rFonts w:ascii="Times New Roman" w:hAnsi="Times New Roman" w:cs="Times New Roman"/>
                <w:sz w:val="24"/>
                <w:szCs w:val="28"/>
                <w:shd w:val="clear" w:color="auto" w:fill="FFFFFF"/>
              </w:rPr>
              <w:t xml:space="preserve">Метод </w:t>
            </w:r>
            <w:r>
              <w:rPr>
                <w:rFonts w:ascii="Times New Roman" w:hAnsi="Times New Roman" w:cs="Times New Roman"/>
                <w:sz w:val="24"/>
                <w:szCs w:val="28"/>
                <w:shd w:val="clear" w:color="auto" w:fill="FFFFFF"/>
              </w:rPr>
              <w:t>6</w:t>
            </w:r>
          </w:p>
        </w:tc>
      </w:tr>
    </w:tbl>
    <w:p w14:paraId="735C210A" w14:textId="77777777" w:rsidR="002D2F2B" w:rsidRDefault="002D2F2B" w:rsidP="005D224E">
      <w:pPr>
        <w:spacing w:after="0" w:line="360" w:lineRule="auto"/>
        <w:rPr>
          <w:rFonts w:ascii="Times New Roman" w:hAnsi="Times New Roman" w:cs="Times New Roman"/>
          <w:sz w:val="28"/>
          <w:szCs w:val="28"/>
        </w:rPr>
      </w:pPr>
    </w:p>
    <w:p w14:paraId="47738BD9" w14:textId="483C7840" w:rsidR="002D2F2B" w:rsidRDefault="002D2F2B" w:rsidP="002D2F2B">
      <w:pPr>
        <w:spacing w:after="0" w:line="360" w:lineRule="auto"/>
        <w:ind w:firstLine="708"/>
        <w:jc w:val="both"/>
        <w:rPr>
          <w:rFonts w:ascii="Times New Roman" w:hAnsi="Times New Roman" w:cs="Times New Roman"/>
          <w:sz w:val="28"/>
          <w:szCs w:val="28"/>
        </w:rPr>
      </w:pPr>
      <w:r w:rsidRPr="002D2F2B">
        <w:rPr>
          <w:rFonts w:ascii="Times New Roman" w:hAnsi="Times New Roman" w:cs="Times New Roman"/>
          <w:sz w:val="28"/>
          <w:szCs w:val="28"/>
        </w:rPr>
        <w:t xml:space="preserve">Решения Коллегии Евразийской экономической комиссии, регулирующие </w:t>
      </w:r>
      <w:r>
        <w:rPr>
          <w:rFonts w:ascii="Times New Roman" w:hAnsi="Times New Roman" w:cs="Times New Roman"/>
          <w:sz w:val="28"/>
          <w:szCs w:val="28"/>
        </w:rPr>
        <w:t xml:space="preserve">особенности </w:t>
      </w:r>
      <w:r w:rsidRPr="002D2F2B">
        <w:rPr>
          <w:rFonts w:ascii="Times New Roman" w:hAnsi="Times New Roman" w:cs="Times New Roman"/>
          <w:sz w:val="28"/>
          <w:szCs w:val="28"/>
        </w:rPr>
        <w:t>определени</w:t>
      </w:r>
      <w:r>
        <w:rPr>
          <w:rFonts w:ascii="Times New Roman" w:hAnsi="Times New Roman" w:cs="Times New Roman"/>
          <w:sz w:val="28"/>
          <w:szCs w:val="28"/>
        </w:rPr>
        <w:t>я</w:t>
      </w:r>
      <w:r w:rsidRPr="002D2F2B">
        <w:rPr>
          <w:rFonts w:ascii="Times New Roman" w:hAnsi="Times New Roman" w:cs="Times New Roman"/>
          <w:sz w:val="28"/>
          <w:szCs w:val="28"/>
        </w:rPr>
        <w:t xml:space="preserve"> таможенной стоимости</w:t>
      </w:r>
      <w:r>
        <w:rPr>
          <w:rFonts w:ascii="Times New Roman" w:hAnsi="Times New Roman" w:cs="Times New Roman"/>
          <w:sz w:val="28"/>
          <w:szCs w:val="28"/>
        </w:rPr>
        <w:t xml:space="preserve"> товаров, ввозимых на таможенную территорию Евразийского экономического союза представлены в Таблице 2.</w:t>
      </w:r>
    </w:p>
    <w:p w14:paraId="3601DB76" w14:textId="77777777" w:rsidR="002D2F2B" w:rsidRDefault="002D2F2B">
      <w:pPr>
        <w:rPr>
          <w:rFonts w:ascii="Times New Roman" w:hAnsi="Times New Roman" w:cs="Times New Roman"/>
          <w:sz w:val="28"/>
          <w:szCs w:val="28"/>
        </w:rPr>
      </w:pPr>
      <w:r>
        <w:rPr>
          <w:rFonts w:ascii="Times New Roman" w:hAnsi="Times New Roman" w:cs="Times New Roman"/>
          <w:sz w:val="28"/>
          <w:szCs w:val="28"/>
        </w:rPr>
        <w:br w:type="page"/>
      </w:r>
    </w:p>
    <w:p w14:paraId="51745219" w14:textId="7E37A873" w:rsidR="005D224E" w:rsidRDefault="005D224E" w:rsidP="005D224E">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Таблица</w:t>
      </w:r>
      <w:r w:rsidR="002D2F2B">
        <w:rPr>
          <w:rFonts w:ascii="Times New Roman" w:hAnsi="Times New Roman" w:cs="Times New Roman"/>
          <w:sz w:val="28"/>
          <w:szCs w:val="28"/>
        </w:rPr>
        <w:t xml:space="preserve"> </w:t>
      </w:r>
      <w:r w:rsidR="007560C7">
        <w:rPr>
          <w:rFonts w:ascii="Times New Roman" w:hAnsi="Times New Roman" w:cs="Times New Roman"/>
          <w:sz w:val="28"/>
          <w:szCs w:val="28"/>
        </w:rPr>
        <w:t>4</w:t>
      </w:r>
      <w:r>
        <w:rPr>
          <w:rFonts w:ascii="Times New Roman" w:hAnsi="Times New Roman" w:cs="Times New Roman"/>
          <w:sz w:val="28"/>
          <w:szCs w:val="28"/>
        </w:rPr>
        <w:t>.</w:t>
      </w:r>
    </w:p>
    <w:p w14:paraId="767E653E" w14:textId="77777777" w:rsidR="005D224E" w:rsidRDefault="005D224E" w:rsidP="005D224E">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Решения </w:t>
      </w:r>
      <w:r w:rsidRPr="00EE6412">
        <w:rPr>
          <w:rFonts w:ascii="Times New Roman" w:hAnsi="Times New Roman" w:cs="Times New Roman"/>
          <w:sz w:val="28"/>
          <w:szCs w:val="28"/>
        </w:rPr>
        <w:t>Коллегии Евразийской экономической комиссии</w:t>
      </w:r>
      <w:r>
        <w:rPr>
          <w:rFonts w:ascii="Times New Roman" w:hAnsi="Times New Roman" w:cs="Times New Roman"/>
          <w:sz w:val="28"/>
          <w:szCs w:val="28"/>
        </w:rPr>
        <w:t>, регулирующие определение таможенной стоимости</w:t>
      </w:r>
    </w:p>
    <w:p w14:paraId="69FEE565" w14:textId="77777777" w:rsidR="005D224E" w:rsidRDefault="005D224E" w:rsidP="005D224E">
      <w:pPr>
        <w:spacing w:after="0" w:line="240" w:lineRule="auto"/>
        <w:ind w:firstLine="709"/>
        <w:jc w:val="center"/>
        <w:rPr>
          <w:rFonts w:ascii="Times New Roman" w:hAnsi="Times New Roman" w:cs="Times New Roman"/>
          <w:sz w:val="28"/>
          <w:szCs w:val="28"/>
        </w:rPr>
      </w:pPr>
    </w:p>
    <w:tbl>
      <w:tblPr>
        <w:tblStyle w:val="a8"/>
        <w:tblW w:w="0" w:type="auto"/>
        <w:tblLook w:val="04A0" w:firstRow="1" w:lastRow="0" w:firstColumn="1" w:lastColumn="0" w:noHBand="0" w:noVBand="1"/>
      </w:tblPr>
      <w:tblGrid>
        <w:gridCol w:w="594"/>
        <w:gridCol w:w="7180"/>
        <w:gridCol w:w="1853"/>
      </w:tblGrid>
      <w:tr w:rsidR="005D224E" w:rsidRPr="009A2380" w14:paraId="511943CA" w14:textId="77777777" w:rsidTr="008B1391">
        <w:trPr>
          <w:trHeight w:val="286"/>
        </w:trPr>
        <w:tc>
          <w:tcPr>
            <w:tcW w:w="0" w:type="auto"/>
          </w:tcPr>
          <w:p w14:paraId="72B346DA" w14:textId="77777777" w:rsidR="005D224E" w:rsidRPr="009A2380" w:rsidRDefault="005D224E" w:rsidP="008B1391">
            <w:pPr>
              <w:pStyle w:val="aa"/>
              <w:spacing w:before="0" w:beforeAutospacing="0" w:after="0" w:afterAutospacing="0" w:line="0" w:lineRule="atLeast"/>
              <w:jc w:val="center"/>
            </w:pPr>
            <w:r w:rsidRPr="009A2380">
              <w:rPr>
                <w:color w:val="000000"/>
              </w:rPr>
              <w:t>№ п/п</w:t>
            </w:r>
          </w:p>
        </w:tc>
        <w:tc>
          <w:tcPr>
            <w:tcW w:w="0" w:type="auto"/>
          </w:tcPr>
          <w:p w14:paraId="62B2205D" w14:textId="77777777" w:rsidR="005D224E" w:rsidRPr="009A2380" w:rsidRDefault="005D224E" w:rsidP="008B1391">
            <w:pPr>
              <w:pStyle w:val="aa"/>
              <w:spacing w:before="0" w:beforeAutospacing="0" w:after="0" w:afterAutospacing="0" w:line="0" w:lineRule="atLeast"/>
              <w:jc w:val="center"/>
            </w:pPr>
            <w:r w:rsidRPr="009A2380">
              <w:rPr>
                <w:color w:val="000000"/>
              </w:rPr>
              <w:t>Заголовок документа</w:t>
            </w:r>
          </w:p>
        </w:tc>
        <w:tc>
          <w:tcPr>
            <w:tcW w:w="0" w:type="auto"/>
          </w:tcPr>
          <w:p w14:paraId="669083B2" w14:textId="77777777" w:rsidR="005D224E" w:rsidRPr="009A2380" w:rsidRDefault="005D224E" w:rsidP="008B1391">
            <w:pPr>
              <w:pStyle w:val="aa"/>
              <w:spacing w:before="0" w:beforeAutospacing="0" w:after="0" w:afterAutospacing="0" w:line="0" w:lineRule="atLeast"/>
              <w:jc w:val="center"/>
            </w:pPr>
            <w:r w:rsidRPr="009A2380">
              <w:rPr>
                <w:color w:val="000000"/>
              </w:rPr>
              <w:t>Дата, номер документа</w:t>
            </w:r>
          </w:p>
        </w:tc>
      </w:tr>
      <w:tr w:rsidR="005D224E" w:rsidRPr="009A2380" w14:paraId="34623192" w14:textId="77777777" w:rsidTr="008B1391">
        <w:trPr>
          <w:trHeight w:val="508"/>
        </w:trPr>
        <w:tc>
          <w:tcPr>
            <w:tcW w:w="0" w:type="auto"/>
          </w:tcPr>
          <w:p w14:paraId="514A8D73" w14:textId="77777777" w:rsidR="005D224E" w:rsidRPr="009A2380" w:rsidRDefault="005D224E" w:rsidP="008B1391">
            <w:pPr>
              <w:jc w:val="center"/>
              <w:rPr>
                <w:rFonts w:ascii="Times New Roman" w:hAnsi="Times New Roman" w:cs="Times New Roman"/>
                <w:sz w:val="24"/>
                <w:szCs w:val="24"/>
              </w:rPr>
            </w:pPr>
            <w:r w:rsidRPr="009A2380">
              <w:rPr>
                <w:rFonts w:ascii="Times New Roman" w:hAnsi="Times New Roman" w:cs="Times New Roman"/>
                <w:sz w:val="24"/>
                <w:szCs w:val="24"/>
              </w:rPr>
              <w:t>1</w:t>
            </w:r>
          </w:p>
        </w:tc>
        <w:tc>
          <w:tcPr>
            <w:tcW w:w="0" w:type="auto"/>
          </w:tcPr>
          <w:p w14:paraId="3421524A" w14:textId="77777777" w:rsidR="005D224E" w:rsidRPr="009A2380" w:rsidRDefault="005D224E" w:rsidP="008B1391">
            <w:pPr>
              <w:jc w:val="center"/>
              <w:rPr>
                <w:rFonts w:ascii="Times New Roman" w:hAnsi="Times New Roman" w:cs="Times New Roman"/>
                <w:sz w:val="24"/>
                <w:szCs w:val="24"/>
              </w:rPr>
            </w:pPr>
            <w:r w:rsidRPr="009A2380">
              <w:rPr>
                <w:rFonts w:ascii="Times New Roman" w:hAnsi="Times New Roman" w:cs="Times New Roman"/>
                <w:sz w:val="24"/>
                <w:szCs w:val="24"/>
              </w:rPr>
              <w:t>«О расчете дополнительных начислений при определении таможенной стоимости товаров»</w:t>
            </w:r>
          </w:p>
        </w:tc>
        <w:tc>
          <w:tcPr>
            <w:tcW w:w="0" w:type="auto"/>
          </w:tcPr>
          <w:p w14:paraId="7D5EAEBB" w14:textId="77777777" w:rsidR="005D224E" w:rsidRPr="009A2380" w:rsidRDefault="005D224E" w:rsidP="008B1391">
            <w:pPr>
              <w:jc w:val="center"/>
              <w:rPr>
                <w:rFonts w:ascii="Times New Roman" w:hAnsi="Times New Roman" w:cs="Times New Roman"/>
                <w:sz w:val="24"/>
                <w:szCs w:val="24"/>
              </w:rPr>
            </w:pPr>
            <w:r w:rsidRPr="009A2380">
              <w:rPr>
                <w:rFonts w:ascii="Times New Roman" w:hAnsi="Times New Roman" w:cs="Times New Roman"/>
                <w:sz w:val="24"/>
                <w:szCs w:val="24"/>
              </w:rPr>
              <w:t>от 22.05.2018г. № 83</w:t>
            </w:r>
          </w:p>
        </w:tc>
      </w:tr>
      <w:tr w:rsidR="005D224E" w:rsidRPr="009A2380" w14:paraId="289B7DA7" w14:textId="77777777" w:rsidTr="008B1391">
        <w:trPr>
          <w:trHeight w:val="508"/>
        </w:trPr>
        <w:tc>
          <w:tcPr>
            <w:tcW w:w="0" w:type="auto"/>
          </w:tcPr>
          <w:p w14:paraId="36148EC6" w14:textId="77777777" w:rsidR="005D224E" w:rsidRPr="009A2380" w:rsidRDefault="005D224E" w:rsidP="008B1391">
            <w:pPr>
              <w:spacing w:line="360" w:lineRule="auto"/>
              <w:jc w:val="center"/>
              <w:rPr>
                <w:rFonts w:ascii="Times New Roman" w:hAnsi="Times New Roman" w:cs="Times New Roman"/>
                <w:sz w:val="24"/>
                <w:szCs w:val="24"/>
              </w:rPr>
            </w:pPr>
            <w:r w:rsidRPr="009A2380">
              <w:rPr>
                <w:rFonts w:ascii="Times New Roman" w:hAnsi="Times New Roman" w:cs="Times New Roman"/>
                <w:sz w:val="24"/>
                <w:szCs w:val="24"/>
              </w:rPr>
              <w:t>2</w:t>
            </w:r>
          </w:p>
        </w:tc>
        <w:tc>
          <w:tcPr>
            <w:tcW w:w="0" w:type="auto"/>
          </w:tcPr>
          <w:p w14:paraId="4DB60883" w14:textId="77777777" w:rsidR="005D224E" w:rsidRPr="009A2380" w:rsidRDefault="005D224E" w:rsidP="008B1391">
            <w:pPr>
              <w:pStyle w:val="aa"/>
              <w:spacing w:before="0" w:beforeAutospacing="0" w:after="0" w:afterAutospacing="0" w:line="0" w:lineRule="atLeast"/>
              <w:jc w:val="center"/>
            </w:pPr>
            <w:r w:rsidRPr="009A2380">
              <w:rPr>
                <w:color w:val="000000"/>
              </w:rPr>
              <w:t>«Об утверждении Порядка отложенного определения таможенной стоимости товаров»</w:t>
            </w:r>
          </w:p>
        </w:tc>
        <w:tc>
          <w:tcPr>
            <w:tcW w:w="0" w:type="auto"/>
          </w:tcPr>
          <w:p w14:paraId="5B716779" w14:textId="77777777" w:rsidR="005D224E" w:rsidRPr="009A2380" w:rsidRDefault="005D224E" w:rsidP="008B1391">
            <w:pPr>
              <w:pStyle w:val="aa"/>
              <w:spacing w:before="0" w:beforeAutospacing="0" w:after="0" w:afterAutospacing="0" w:line="0" w:lineRule="atLeast"/>
              <w:jc w:val="center"/>
            </w:pPr>
            <w:r w:rsidRPr="009A2380">
              <w:rPr>
                <w:color w:val="000000"/>
              </w:rPr>
              <w:t>от 19.06.2018г. № 103</w:t>
            </w:r>
          </w:p>
        </w:tc>
      </w:tr>
      <w:tr w:rsidR="005D224E" w:rsidRPr="009A2380" w14:paraId="12B5A689" w14:textId="77777777" w:rsidTr="008B1391">
        <w:trPr>
          <w:trHeight w:val="508"/>
        </w:trPr>
        <w:tc>
          <w:tcPr>
            <w:tcW w:w="0" w:type="auto"/>
          </w:tcPr>
          <w:p w14:paraId="70302A56" w14:textId="77777777" w:rsidR="005D224E" w:rsidRPr="009A2380" w:rsidRDefault="005D224E" w:rsidP="008B1391">
            <w:pPr>
              <w:spacing w:line="360" w:lineRule="auto"/>
              <w:jc w:val="center"/>
              <w:rPr>
                <w:rFonts w:ascii="Times New Roman" w:hAnsi="Times New Roman" w:cs="Times New Roman"/>
                <w:sz w:val="24"/>
                <w:szCs w:val="24"/>
              </w:rPr>
            </w:pPr>
            <w:r w:rsidRPr="009A2380">
              <w:rPr>
                <w:rFonts w:ascii="Times New Roman" w:hAnsi="Times New Roman" w:cs="Times New Roman"/>
                <w:sz w:val="24"/>
                <w:szCs w:val="24"/>
              </w:rPr>
              <w:t>3</w:t>
            </w:r>
          </w:p>
        </w:tc>
        <w:tc>
          <w:tcPr>
            <w:tcW w:w="0" w:type="auto"/>
          </w:tcPr>
          <w:p w14:paraId="02D507B4" w14:textId="77777777" w:rsidR="005D224E" w:rsidRPr="009A2380" w:rsidRDefault="005D224E" w:rsidP="008B1391">
            <w:pPr>
              <w:pStyle w:val="aa"/>
              <w:spacing w:before="0" w:beforeAutospacing="0" w:after="0" w:afterAutospacing="0" w:line="0" w:lineRule="atLeast"/>
              <w:jc w:val="center"/>
            </w:pPr>
            <w:r w:rsidRPr="009A2380">
              <w:rPr>
                <w:color w:val="000000"/>
              </w:rPr>
              <w:t>«Об утверждении Положения о добавлении вознаграждения посредникам (агентам) и в</w:t>
            </w:r>
            <w:r>
              <w:rPr>
                <w:color w:val="000000"/>
              </w:rPr>
              <w:t>ознагра</w:t>
            </w:r>
            <w:r w:rsidRPr="009A2380">
              <w:rPr>
                <w:color w:val="000000"/>
              </w:rPr>
              <w:t>ждения брокерам к цене, фактически уплаченной или подлежащей уплате за ввозимые товары»</w:t>
            </w:r>
          </w:p>
        </w:tc>
        <w:tc>
          <w:tcPr>
            <w:tcW w:w="0" w:type="auto"/>
          </w:tcPr>
          <w:p w14:paraId="41952B94" w14:textId="77777777" w:rsidR="005D224E" w:rsidRPr="009A2380" w:rsidRDefault="005D224E" w:rsidP="008B1391">
            <w:pPr>
              <w:pStyle w:val="aa"/>
              <w:spacing w:before="0" w:beforeAutospacing="0" w:after="0" w:afterAutospacing="0" w:line="0" w:lineRule="atLeast"/>
              <w:jc w:val="center"/>
            </w:pPr>
            <w:r w:rsidRPr="009A2380">
              <w:rPr>
                <w:color w:val="000000"/>
              </w:rPr>
              <w:t>от 15.07.2014г. № 112</w:t>
            </w:r>
          </w:p>
        </w:tc>
      </w:tr>
      <w:tr w:rsidR="005D224E" w:rsidRPr="009A2380" w14:paraId="136D0720" w14:textId="77777777" w:rsidTr="008B1391">
        <w:trPr>
          <w:trHeight w:val="508"/>
        </w:trPr>
        <w:tc>
          <w:tcPr>
            <w:tcW w:w="0" w:type="auto"/>
          </w:tcPr>
          <w:p w14:paraId="5DC2911C" w14:textId="77777777" w:rsidR="005D224E" w:rsidRPr="009A2380" w:rsidRDefault="005D224E" w:rsidP="008B1391">
            <w:pPr>
              <w:spacing w:line="360" w:lineRule="auto"/>
              <w:jc w:val="center"/>
              <w:rPr>
                <w:rFonts w:ascii="Times New Roman" w:hAnsi="Times New Roman" w:cs="Times New Roman"/>
                <w:sz w:val="24"/>
                <w:szCs w:val="24"/>
              </w:rPr>
            </w:pPr>
            <w:r w:rsidRPr="009A2380">
              <w:rPr>
                <w:rFonts w:ascii="Times New Roman" w:hAnsi="Times New Roman" w:cs="Times New Roman"/>
                <w:sz w:val="24"/>
                <w:szCs w:val="24"/>
              </w:rPr>
              <w:t>4</w:t>
            </w:r>
          </w:p>
        </w:tc>
        <w:tc>
          <w:tcPr>
            <w:tcW w:w="0" w:type="auto"/>
          </w:tcPr>
          <w:p w14:paraId="0C45D9FC" w14:textId="77777777" w:rsidR="005D224E" w:rsidRPr="009A2380" w:rsidRDefault="005D224E" w:rsidP="008B1391">
            <w:pPr>
              <w:pStyle w:val="aa"/>
              <w:spacing w:before="0" w:beforeAutospacing="0" w:after="0" w:afterAutospacing="0" w:line="0" w:lineRule="atLeast"/>
              <w:jc w:val="center"/>
            </w:pPr>
            <w:r w:rsidRPr="009A2380">
              <w:rPr>
                <w:color w:val="000000"/>
              </w:rPr>
              <w:t xml:space="preserve">«Об утверждении Правил учета процентных платежей </w:t>
            </w:r>
            <w:r w:rsidRPr="009A2380">
              <w:br/>
            </w:r>
            <w:r w:rsidRPr="009A2380">
              <w:rPr>
                <w:color w:val="000000"/>
              </w:rPr>
              <w:t>при определении таможенной стоимости товаров»</w:t>
            </w:r>
          </w:p>
        </w:tc>
        <w:tc>
          <w:tcPr>
            <w:tcW w:w="0" w:type="auto"/>
          </w:tcPr>
          <w:p w14:paraId="6EC840DB" w14:textId="77777777" w:rsidR="005D224E" w:rsidRPr="009A2380" w:rsidRDefault="005D224E" w:rsidP="008B1391">
            <w:pPr>
              <w:pStyle w:val="aa"/>
              <w:spacing w:before="0" w:beforeAutospacing="0" w:after="0" w:afterAutospacing="0" w:line="0" w:lineRule="atLeast"/>
              <w:jc w:val="center"/>
            </w:pPr>
            <w:r w:rsidRPr="009A2380">
              <w:rPr>
                <w:color w:val="000000"/>
              </w:rPr>
              <w:t>от 22.09.2015г. № 118</w:t>
            </w:r>
          </w:p>
        </w:tc>
      </w:tr>
      <w:tr w:rsidR="005D224E" w:rsidRPr="009A2380" w14:paraId="167A1DB5" w14:textId="77777777" w:rsidTr="008B1391">
        <w:trPr>
          <w:trHeight w:val="508"/>
        </w:trPr>
        <w:tc>
          <w:tcPr>
            <w:tcW w:w="0" w:type="auto"/>
          </w:tcPr>
          <w:p w14:paraId="58B709F3" w14:textId="77777777" w:rsidR="005D224E" w:rsidRPr="009A2380" w:rsidRDefault="005D224E" w:rsidP="008B1391">
            <w:pPr>
              <w:spacing w:line="360" w:lineRule="auto"/>
              <w:jc w:val="center"/>
              <w:rPr>
                <w:rFonts w:ascii="Times New Roman" w:hAnsi="Times New Roman" w:cs="Times New Roman"/>
                <w:sz w:val="24"/>
                <w:szCs w:val="24"/>
              </w:rPr>
            </w:pPr>
            <w:r w:rsidRPr="009A2380">
              <w:rPr>
                <w:rFonts w:ascii="Times New Roman" w:hAnsi="Times New Roman" w:cs="Times New Roman"/>
                <w:sz w:val="24"/>
                <w:szCs w:val="24"/>
              </w:rPr>
              <w:t>5</w:t>
            </w:r>
          </w:p>
        </w:tc>
        <w:tc>
          <w:tcPr>
            <w:tcW w:w="0" w:type="auto"/>
          </w:tcPr>
          <w:p w14:paraId="01059961" w14:textId="77777777" w:rsidR="005D224E" w:rsidRPr="009A2380" w:rsidRDefault="005D224E" w:rsidP="008B1391">
            <w:pPr>
              <w:pStyle w:val="aa"/>
              <w:spacing w:before="0" w:beforeAutospacing="0" w:after="0" w:afterAutospacing="0" w:line="0" w:lineRule="atLeast"/>
              <w:jc w:val="center"/>
            </w:pPr>
            <w:r w:rsidRPr="009A2380">
              <w:rPr>
                <w:color w:val="000000"/>
              </w:rPr>
              <w:t>«Об утверждении Положения об особенностях определения таможенной стоимости товаров при завершении таможенной процедуры свободной таможенной зоны и таможенной процедуры свободного склада»</w:t>
            </w:r>
          </w:p>
        </w:tc>
        <w:tc>
          <w:tcPr>
            <w:tcW w:w="0" w:type="auto"/>
          </w:tcPr>
          <w:p w14:paraId="4ED9D982" w14:textId="77777777" w:rsidR="005D224E" w:rsidRPr="009A2380" w:rsidRDefault="005D224E" w:rsidP="008B1391">
            <w:pPr>
              <w:pStyle w:val="aa"/>
              <w:spacing w:before="0" w:beforeAutospacing="0" w:after="0" w:afterAutospacing="0" w:line="0" w:lineRule="atLeast"/>
              <w:jc w:val="center"/>
            </w:pPr>
            <w:r w:rsidRPr="009A2380">
              <w:rPr>
                <w:color w:val="000000"/>
              </w:rPr>
              <w:t>от 01.11.2016г. № 130</w:t>
            </w:r>
          </w:p>
        </w:tc>
      </w:tr>
      <w:tr w:rsidR="005D224E" w:rsidRPr="009A2380" w14:paraId="368E9CB7" w14:textId="77777777" w:rsidTr="008B1391">
        <w:trPr>
          <w:trHeight w:val="508"/>
        </w:trPr>
        <w:tc>
          <w:tcPr>
            <w:tcW w:w="0" w:type="auto"/>
          </w:tcPr>
          <w:p w14:paraId="65D260A6" w14:textId="77777777" w:rsidR="005D224E" w:rsidRPr="009A2380" w:rsidRDefault="005D224E" w:rsidP="008B1391">
            <w:pPr>
              <w:spacing w:line="360" w:lineRule="auto"/>
              <w:jc w:val="center"/>
              <w:rPr>
                <w:rFonts w:ascii="Times New Roman" w:hAnsi="Times New Roman" w:cs="Times New Roman"/>
                <w:sz w:val="24"/>
                <w:szCs w:val="24"/>
              </w:rPr>
            </w:pPr>
            <w:r w:rsidRPr="009A2380">
              <w:rPr>
                <w:rFonts w:ascii="Times New Roman" w:hAnsi="Times New Roman" w:cs="Times New Roman"/>
                <w:sz w:val="24"/>
                <w:szCs w:val="24"/>
              </w:rPr>
              <w:t>6</w:t>
            </w:r>
          </w:p>
        </w:tc>
        <w:tc>
          <w:tcPr>
            <w:tcW w:w="0" w:type="auto"/>
          </w:tcPr>
          <w:p w14:paraId="52D2AD79" w14:textId="77777777" w:rsidR="005D224E" w:rsidRPr="009A2380" w:rsidRDefault="005D224E" w:rsidP="008B1391">
            <w:pPr>
              <w:pStyle w:val="aa"/>
              <w:spacing w:before="0" w:beforeAutospacing="0" w:after="0" w:afterAutospacing="0" w:line="0" w:lineRule="atLeast"/>
              <w:jc w:val="center"/>
            </w:pPr>
            <w:r w:rsidRPr="009A2380">
              <w:rPr>
                <w:color w:val="000000"/>
              </w:rPr>
              <w:t xml:space="preserve">«Об утверждении Положения об особенностях применения методов определения таможенной стоимости товаров, ввозимых на таможенную территорию Евразийского экономического союза, пришедших в негодность, испорченных или поврежденных вследствие аварии </w:t>
            </w:r>
            <w:r w:rsidRPr="009A2380">
              <w:br/>
            </w:r>
            <w:r w:rsidRPr="009A2380">
              <w:rPr>
                <w:color w:val="000000"/>
              </w:rPr>
              <w:t>или действия непреодолимой силы»</w:t>
            </w:r>
          </w:p>
        </w:tc>
        <w:tc>
          <w:tcPr>
            <w:tcW w:w="0" w:type="auto"/>
          </w:tcPr>
          <w:p w14:paraId="7755EDBE" w14:textId="77777777" w:rsidR="005D224E" w:rsidRPr="009A2380" w:rsidRDefault="005D224E" w:rsidP="008B1391">
            <w:pPr>
              <w:pStyle w:val="aa"/>
              <w:spacing w:before="0" w:beforeAutospacing="0" w:after="0" w:afterAutospacing="0" w:line="0" w:lineRule="atLeast"/>
              <w:jc w:val="center"/>
            </w:pPr>
            <w:r w:rsidRPr="009A2380">
              <w:rPr>
                <w:color w:val="000000"/>
              </w:rPr>
              <w:t>от 25.06.2013г.№ 145</w:t>
            </w:r>
          </w:p>
        </w:tc>
      </w:tr>
      <w:tr w:rsidR="005D224E" w:rsidRPr="009A2380" w14:paraId="7F111DFC" w14:textId="77777777" w:rsidTr="008B1391">
        <w:trPr>
          <w:trHeight w:val="508"/>
        </w:trPr>
        <w:tc>
          <w:tcPr>
            <w:tcW w:w="0" w:type="auto"/>
          </w:tcPr>
          <w:p w14:paraId="181EFAB7" w14:textId="77777777" w:rsidR="005D224E" w:rsidRPr="009A2380" w:rsidRDefault="005D224E" w:rsidP="008B1391">
            <w:pPr>
              <w:spacing w:line="360" w:lineRule="auto"/>
              <w:jc w:val="center"/>
              <w:rPr>
                <w:rFonts w:ascii="Times New Roman" w:hAnsi="Times New Roman" w:cs="Times New Roman"/>
                <w:sz w:val="24"/>
                <w:szCs w:val="24"/>
              </w:rPr>
            </w:pPr>
            <w:r w:rsidRPr="009A2380">
              <w:rPr>
                <w:rFonts w:ascii="Times New Roman" w:hAnsi="Times New Roman" w:cs="Times New Roman"/>
                <w:sz w:val="24"/>
                <w:szCs w:val="24"/>
              </w:rPr>
              <w:t>7</w:t>
            </w:r>
          </w:p>
        </w:tc>
        <w:tc>
          <w:tcPr>
            <w:tcW w:w="0" w:type="auto"/>
          </w:tcPr>
          <w:p w14:paraId="7784F6F9" w14:textId="77777777" w:rsidR="005D224E" w:rsidRPr="009A2380" w:rsidRDefault="005D224E" w:rsidP="008B1391">
            <w:pPr>
              <w:pStyle w:val="aa"/>
              <w:spacing w:before="0" w:beforeAutospacing="0" w:after="0" w:afterAutospacing="0" w:line="0" w:lineRule="atLeast"/>
              <w:jc w:val="center"/>
            </w:pPr>
            <w:r w:rsidRPr="009A2380">
              <w:rPr>
                <w:color w:val="000000"/>
              </w:rPr>
              <w:t xml:space="preserve">«О Положении о добавлении лицензионных и иных подобных платежей за использование объектов интеллектуальной собственности к цене, фактически уплаченной </w:t>
            </w:r>
            <w:r w:rsidRPr="009A2380">
              <w:br/>
            </w:r>
            <w:r w:rsidRPr="009A2380">
              <w:rPr>
                <w:color w:val="000000"/>
              </w:rPr>
              <w:t>или подлежащей уплате за ввозимые товары»</w:t>
            </w:r>
          </w:p>
        </w:tc>
        <w:tc>
          <w:tcPr>
            <w:tcW w:w="0" w:type="auto"/>
          </w:tcPr>
          <w:p w14:paraId="4303AD03" w14:textId="77777777" w:rsidR="005D224E" w:rsidRPr="009A2380" w:rsidRDefault="005D224E" w:rsidP="008B1391">
            <w:pPr>
              <w:pStyle w:val="aa"/>
              <w:spacing w:before="0" w:beforeAutospacing="0" w:after="0" w:afterAutospacing="0" w:line="0" w:lineRule="atLeast"/>
              <w:jc w:val="center"/>
            </w:pPr>
            <w:r w:rsidRPr="009A2380">
              <w:rPr>
                <w:color w:val="000000"/>
              </w:rPr>
              <w:t>от 15.11.2016г. № 20</w:t>
            </w:r>
          </w:p>
        </w:tc>
      </w:tr>
      <w:tr w:rsidR="005D224E" w:rsidRPr="009A2380" w14:paraId="09BDDAE5" w14:textId="77777777" w:rsidTr="008B1391">
        <w:trPr>
          <w:trHeight w:val="508"/>
        </w:trPr>
        <w:tc>
          <w:tcPr>
            <w:tcW w:w="0" w:type="auto"/>
          </w:tcPr>
          <w:p w14:paraId="4EB83AD7" w14:textId="77777777" w:rsidR="005D224E" w:rsidRPr="009A2380" w:rsidRDefault="005D224E" w:rsidP="008B1391">
            <w:pPr>
              <w:spacing w:line="360" w:lineRule="auto"/>
              <w:jc w:val="center"/>
              <w:rPr>
                <w:rFonts w:ascii="Times New Roman" w:hAnsi="Times New Roman" w:cs="Times New Roman"/>
                <w:sz w:val="24"/>
                <w:szCs w:val="24"/>
              </w:rPr>
            </w:pPr>
            <w:r w:rsidRPr="009A2380">
              <w:rPr>
                <w:rFonts w:ascii="Times New Roman" w:hAnsi="Times New Roman" w:cs="Times New Roman"/>
                <w:sz w:val="24"/>
                <w:szCs w:val="24"/>
              </w:rPr>
              <w:t>8</w:t>
            </w:r>
          </w:p>
        </w:tc>
        <w:tc>
          <w:tcPr>
            <w:tcW w:w="0" w:type="auto"/>
          </w:tcPr>
          <w:p w14:paraId="0CB63256" w14:textId="77777777" w:rsidR="005D224E" w:rsidRPr="009A2380" w:rsidRDefault="005D224E" w:rsidP="008B1391">
            <w:pPr>
              <w:pStyle w:val="aa"/>
              <w:spacing w:before="0" w:beforeAutospacing="0" w:after="0" w:afterAutospacing="0" w:line="0" w:lineRule="atLeast"/>
              <w:jc w:val="center"/>
            </w:pPr>
            <w:r w:rsidRPr="009A2380">
              <w:rPr>
                <w:color w:val="000000"/>
              </w:rPr>
              <w:t>«Об утверждении Положения об особенностях определения таможенной стоимости товаров, ввезенных на таможенную территорию Евразийского экономического союза</w:t>
            </w:r>
            <w:r w:rsidRPr="009A2380">
              <w:br/>
            </w:r>
            <w:r w:rsidRPr="009A2380">
              <w:rPr>
                <w:color w:val="000000"/>
              </w:rPr>
              <w:t>с недекларированием»</w:t>
            </w:r>
          </w:p>
        </w:tc>
        <w:tc>
          <w:tcPr>
            <w:tcW w:w="0" w:type="auto"/>
          </w:tcPr>
          <w:p w14:paraId="44B5B3C1" w14:textId="77777777" w:rsidR="005D224E" w:rsidRPr="009A2380" w:rsidRDefault="005D224E" w:rsidP="008B1391">
            <w:pPr>
              <w:pStyle w:val="aa"/>
              <w:spacing w:before="0" w:beforeAutospacing="0" w:after="0" w:afterAutospacing="0" w:line="0" w:lineRule="atLeast"/>
              <w:jc w:val="center"/>
            </w:pPr>
            <w:r w:rsidRPr="009A2380">
              <w:rPr>
                <w:color w:val="000000"/>
              </w:rPr>
              <w:t>от 27.08.2013г. № 180</w:t>
            </w:r>
          </w:p>
        </w:tc>
      </w:tr>
    </w:tbl>
    <w:p w14:paraId="53832642" w14:textId="5D9E835B" w:rsidR="005D224E" w:rsidRDefault="005D224E" w:rsidP="005D224E">
      <w:pPr>
        <w:spacing w:after="0" w:line="360" w:lineRule="auto"/>
        <w:ind w:firstLine="709"/>
        <w:jc w:val="both"/>
        <w:rPr>
          <w:rFonts w:ascii="Times New Roman" w:hAnsi="Times New Roman" w:cs="Times New Roman"/>
          <w:sz w:val="28"/>
          <w:szCs w:val="28"/>
        </w:rPr>
      </w:pPr>
    </w:p>
    <w:p w14:paraId="459E8FAA" w14:textId="08B261CC" w:rsidR="004B3FB2" w:rsidRDefault="003A2509" w:rsidP="003A2509">
      <w:pPr>
        <w:spacing w:after="0" w:line="360" w:lineRule="auto"/>
        <w:ind w:firstLine="709"/>
        <w:jc w:val="both"/>
        <w:rPr>
          <w:rFonts w:ascii="Times New Roman" w:hAnsi="Times New Roman" w:cs="Times New Roman"/>
          <w:sz w:val="28"/>
          <w:szCs w:val="28"/>
        </w:rPr>
      </w:pPr>
      <w:r w:rsidRPr="003A2509">
        <w:rPr>
          <w:rFonts w:ascii="Times New Roman" w:hAnsi="Times New Roman" w:cs="Times New Roman"/>
          <w:sz w:val="28"/>
          <w:szCs w:val="28"/>
        </w:rPr>
        <w:t>Правовое регулирование</w:t>
      </w:r>
      <w:r w:rsidR="00351964">
        <w:rPr>
          <w:rFonts w:ascii="Times New Roman" w:hAnsi="Times New Roman" w:cs="Times New Roman"/>
          <w:sz w:val="28"/>
          <w:szCs w:val="28"/>
        </w:rPr>
        <w:t xml:space="preserve"> контроля таможенной стоимости</w:t>
      </w:r>
      <w:r w:rsidR="004B3FB2">
        <w:rPr>
          <w:rFonts w:ascii="Times New Roman" w:hAnsi="Times New Roman" w:cs="Times New Roman"/>
          <w:sz w:val="28"/>
          <w:szCs w:val="28"/>
        </w:rPr>
        <w:t xml:space="preserve"> определено </w:t>
      </w:r>
      <w:r w:rsidRPr="003A2509">
        <w:rPr>
          <w:rFonts w:ascii="Times New Roman" w:hAnsi="Times New Roman" w:cs="Times New Roman"/>
          <w:sz w:val="28"/>
          <w:szCs w:val="28"/>
        </w:rPr>
        <w:t>глав</w:t>
      </w:r>
      <w:r w:rsidR="004B3FB2">
        <w:rPr>
          <w:rFonts w:ascii="Times New Roman" w:hAnsi="Times New Roman" w:cs="Times New Roman"/>
          <w:sz w:val="28"/>
          <w:szCs w:val="28"/>
        </w:rPr>
        <w:t>ой</w:t>
      </w:r>
      <w:r w:rsidRPr="003A2509">
        <w:rPr>
          <w:rFonts w:ascii="Times New Roman" w:hAnsi="Times New Roman" w:cs="Times New Roman"/>
          <w:sz w:val="28"/>
          <w:szCs w:val="28"/>
        </w:rPr>
        <w:t xml:space="preserve"> 44 ТК ЕАЭС</w:t>
      </w:r>
      <w:r w:rsidR="004B3FB2">
        <w:rPr>
          <w:rFonts w:ascii="Times New Roman" w:hAnsi="Times New Roman" w:cs="Times New Roman"/>
          <w:sz w:val="28"/>
          <w:szCs w:val="28"/>
        </w:rPr>
        <w:t>, где раскрыты о</w:t>
      </w:r>
      <w:r w:rsidR="004B3FB2" w:rsidRPr="004B3FB2">
        <w:rPr>
          <w:rFonts w:ascii="Times New Roman" w:hAnsi="Times New Roman" w:cs="Times New Roman"/>
          <w:sz w:val="28"/>
          <w:szCs w:val="28"/>
        </w:rPr>
        <w:t>бщие положения о проведении таможенного контроля</w:t>
      </w:r>
      <w:r w:rsidR="004B3FB2">
        <w:rPr>
          <w:rFonts w:ascii="Times New Roman" w:hAnsi="Times New Roman" w:cs="Times New Roman"/>
          <w:sz w:val="28"/>
          <w:szCs w:val="28"/>
        </w:rPr>
        <w:t xml:space="preserve"> и выделены о</w:t>
      </w:r>
      <w:r w:rsidR="004B3FB2" w:rsidRPr="004B3FB2">
        <w:rPr>
          <w:rFonts w:ascii="Times New Roman" w:hAnsi="Times New Roman" w:cs="Times New Roman"/>
          <w:sz w:val="28"/>
          <w:szCs w:val="28"/>
        </w:rPr>
        <w:t>собенности проведения таможенного контроля таможенной стоимости товаров</w:t>
      </w:r>
      <w:r w:rsidR="004B3FB2">
        <w:rPr>
          <w:rFonts w:ascii="Times New Roman" w:hAnsi="Times New Roman" w:cs="Times New Roman"/>
          <w:sz w:val="28"/>
          <w:szCs w:val="28"/>
        </w:rPr>
        <w:t>.</w:t>
      </w:r>
    </w:p>
    <w:p w14:paraId="5EA5DC6F" w14:textId="07A8FB60" w:rsidR="00945C3B" w:rsidRDefault="003A2509" w:rsidP="004B3FB2">
      <w:pPr>
        <w:spacing w:after="0" w:line="360" w:lineRule="auto"/>
        <w:ind w:firstLine="709"/>
        <w:jc w:val="both"/>
        <w:rPr>
          <w:rFonts w:ascii="Times New Roman" w:hAnsi="Times New Roman" w:cs="Times New Roman"/>
          <w:sz w:val="28"/>
          <w:szCs w:val="28"/>
        </w:rPr>
      </w:pPr>
      <w:r w:rsidRPr="003A2509">
        <w:rPr>
          <w:rFonts w:ascii="Times New Roman" w:hAnsi="Times New Roman" w:cs="Times New Roman"/>
          <w:sz w:val="28"/>
          <w:szCs w:val="28"/>
        </w:rPr>
        <w:t>Глав</w:t>
      </w:r>
      <w:r w:rsidR="004B3FB2">
        <w:rPr>
          <w:rFonts w:ascii="Times New Roman" w:hAnsi="Times New Roman" w:cs="Times New Roman"/>
          <w:sz w:val="28"/>
          <w:szCs w:val="28"/>
        </w:rPr>
        <w:t>ой</w:t>
      </w:r>
      <w:r w:rsidRPr="003A2509">
        <w:rPr>
          <w:rFonts w:ascii="Times New Roman" w:hAnsi="Times New Roman" w:cs="Times New Roman"/>
          <w:sz w:val="28"/>
          <w:szCs w:val="28"/>
        </w:rPr>
        <w:t xml:space="preserve"> 5 Федерального закона от 03.08.2018 N 289-ФЗ</w:t>
      </w:r>
      <w:r w:rsidR="004B3FB2">
        <w:rPr>
          <w:rFonts w:ascii="Times New Roman" w:hAnsi="Times New Roman" w:cs="Times New Roman"/>
          <w:sz w:val="28"/>
          <w:szCs w:val="28"/>
        </w:rPr>
        <w:t xml:space="preserve"> дано о</w:t>
      </w:r>
      <w:r w:rsidR="004B3FB2" w:rsidRPr="004B3FB2">
        <w:rPr>
          <w:rFonts w:ascii="Times New Roman" w:hAnsi="Times New Roman" w:cs="Times New Roman"/>
          <w:sz w:val="28"/>
          <w:szCs w:val="28"/>
        </w:rPr>
        <w:t>пределение контрол</w:t>
      </w:r>
      <w:r w:rsidR="004F25C6">
        <w:rPr>
          <w:rFonts w:ascii="Times New Roman" w:hAnsi="Times New Roman" w:cs="Times New Roman"/>
          <w:sz w:val="28"/>
          <w:szCs w:val="28"/>
        </w:rPr>
        <w:t xml:space="preserve">я </w:t>
      </w:r>
      <w:r w:rsidR="004B3FB2" w:rsidRPr="004B3FB2">
        <w:rPr>
          <w:rFonts w:ascii="Times New Roman" w:hAnsi="Times New Roman" w:cs="Times New Roman"/>
          <w:sz w:val="28"/>
          <w:szCs w:val="28"/>
        </w:rPr>
        <w:t>таможенной стоимости товаров</w:t>
      </w:r>
      <w:r w:rsidR="004F25C6" w:rsidRPr="004F25C6">
        <w:rPr>
          <w:rFonts w:ascii="Times New Roman" w:hAnsi="Times New Roman" w:cs="Times New Roman"/>
          <w:sz w:val="28"/>
          <w:szCs w:val="28"/>
        </w:rPr>
        <w:t xml:space="preserve"> </w:t>
      </w:r>
      <w:r w:rsidR="004F25C6" w:rsidRPr="004B3FB2">
        <w:rPr>
          <w:rFonts w:ascii="Times New Roman" w:hAnsi="Times New Roman" w:cs="Times New Roman"/>
          <w:sz w:val="28"/>
          <w:szCs w:val="28"/>
        </w:rPr>
        <w:t>и</w:t>
      </w:r>
      <w:r w:rsidR="004F25C6">
        <w:rPr>
          <w:rFonts w:ascii="Times New Roman" w:hAnsi="Times New Roman" w:cs="Times New Roman"/>
          <w:sz w:val="28"/>
          <w:szCs w:val="28"/>
        </w:rPr>
        <w:t xml:space="preserve"> порядок совершения действий, осуществляемых таможенными органами в связи с контролем правильности </w:t>
      </w:r>
      <w:r w:rsidR="004F25C6">
        <w:rPr>
          <w:rFonts w:ascii="Times New Roman" w:hAnsi="Times New Roman" w:cs="Times New Roman"/>
          <w:sz w:val="28"/>
          <w:szCs w:val="28"/>
        </w:rPr>
        <w:lastRenderedPageBreak/>
        <w:t>исчисления таможенной стоимости товаров, ввозимых на и вывозимых с таможенной территории</w:t>
      </w:r>
      <w:r w:rsidRPr="003A2509">
        <w:rPr>
          <w:rFonts w:ascii="Times New Roman" w:hAnsi="Times New Roman" w:cs="Times New Roman"/>
          <w:sz w:val="28"/>
          <w:szCs w:val="28"/>
        </w:rPr>
        <w:t>;</w:t>
      </w:r>
    </w:p>
    <w:p w14:paraId="3CC65198" w14:textId="35CF65FC" w:rsidR="003A2509" w:rsidRPr="003A2509" w:rsidRDefault="003A2509" w:rsidP="004B3FB2">
      <w:pPr>
        <w:spacing w:after="0" w:line="360" w:lineRule="auto"/>
        <w:ind w:firstLine="709"/>
        <w:jc w:val="both"/>
        <w:rPr>
          <w:rFonts w:ascii="Times New Roman" w:hAnsi="Times New Roman" w:cs="Times New Roman"/>
          <w:sz w:val="28"/>
          <w:szCs w:val="28"/>
        </w:rPr>
      </w:pPr>
      <w:r w:rsidRPr="003A2509">
        <w:rPr>
          <w:rFonts w:ascii="Times New Roman" w:hAnsi="Times New Roman" w:cs="Times New Roman"/>
          <w:sz w:val="28"/>
          <w:szCs w:val="28"/>
        </w:rPr>
        <w:t xml:space="preserve">Решение Коллегии Евразийской экономической комиссии от 27.03.2018 № 42 </w:t>
      </w:r>
      <w:r w:rsidR="004B3FB2" w:rsidRPr="004B3FB2">
        <w:rPr>
          <w:rFonts w:ascii="Times New Roman" w:hAnsi="Times New Roman" w:cs="Times New Roman"/>
          <w:sz w:val="28"/>
          <w:szCs w:val="28"/>
        </w:rPr>
        <w:t>(ред. от 11.01.2022)"Об особенностях проведения таможенного контроля таможенной стоимости товаров, ввозимых на таможенную территорию Евразийского экономического союза"(вместе с "Положением об особенностях проведения таможенного контроля таможенной стоимости товаров, ввозимых на таможенную территорию Евразийского экономического союза")</w:t>
      </w:r>
      <w:r w:rsidR="004F25C6">
        <w:rPr>
          <w:rFonts w:ascii="Times New Roman" w:hAnsi="Times New Roman" w:cs="Times New Roman"/>
          <w:sz w:val="28"/>
          <w:szCs w:val="28"/>
        </w:rPr>
        <w:t xml:space="preserve">определяет порядок </w:t>
      </w:r>
      <w:r w:rsidR="004F25C6" w:rsidRPr="004F25C6">
        <w:rPr>
          <w:rFonts w:ascii="Times New Roman" w:hAnsi="Times New Roman" w:cs="Times New Roman"/>
          <w:sz w:val="28"/>
          <w:szCs w:val="28"/>
        </w:rPr>
        <w:t>о проведения таможенного контроля таможенной стоимости товаров, ввозимых на таможенную территорию Евразийского экономического союза</w:t>
      </w:r>
    </w:p>
    <w:p w14:paraId="3CDBD004" w14:textId="0E401770" w:rsidR="000E569C" w:rsidRDefault="000E569C" w:rsidP="00F30D8D">
      <w:pPr>
        <w:spacing w:after="0" w:line="360" w:lineRule="auto"/>
        <w:ind w:firstLine="709"/>
        <w:jc w:val="both"/>
        <w:rPr>
          <w:rFonts w:ascii="Times New Roman" w:hAnsi="Times New Roman" w:cs="Times New Roman"/>
          <w:sz w:val="28"/>
          <w:szCs w:val="28"/>
        </w:rPr>
      </w:pPr>
      <w:r w:rsidRPr="003A2509">
        <w:rPr>
          <w:rFonts w:ascii="Times New Roman" w:hAnsi="Times New Roman" w:cs="Times New Roman"/>
          <w:sz w:val="28"/>
          <w:szCs w:val="28"/>
        </w:rPr>
        <w:t xml:space="preserve">Сведения о таможенной стоимости товаров заявляются в декларации на товары и декларации таможенной стоимости (ДТС) и являются сведениями, необходимыми для таможенных целей. ДТС является неотъемлемой частью декларации на товары, заполняется декларантом или представителем. </w:t>
      </w:r>
      <w:r>
        <w:rPr>
          <w:rFonts w:ascii="Times New Roman" w:hAnsi="Times New Roman" w:cs="Times New Roman"/>
          <w:sz w:val="28"/>
          <w:szCs w:val="28"/>
        </w:rPr>
        <w:t>Форма и порядок заполнения</w:t>
      </w:r>
      <w:r w:rsidRPr="000E569C">
        <w:t xml:space="preserve"> </w:t>
      </w:r>
      <w:r w:rsidRPr="000E569C">
        <w:rPr>
          <w:rFonts w:ascii="Times New Roman" w:hAnsi="Times New Roman" w:cs="Times New Roman"/>
          <w:sz w:val="28"/>
          <w:szCs w:val="28"/>
        </w:rPr>
        <w:t>декларации таможенной стоимости</w:t>
      </w:r>
      <w:r>
        <w:rPr>
          <w:rFonts w:ascii="Times New Roman" w:hAnsi="Times New Roman" w:cs="Times New Roman"/>
          <w:sz w:val="28"/>
          <w:szCs w:val="28"/>
        </w:rPr>
        <w:t xml:space="preserve"> установлен Решением </w:t>
      </w:r>
      <w:r w:rsidRPr="000E569C">
        <w:rPr>
          <w:rFonts w:ascii="Times New Roman" w:hAnsi="Times New Roman" w:cs="Times New Roman"/>
          <w:sz w:val="28"/>
          <w:szCs w:val="28"/>
        </w:rPr>
        <w:t>Коллегии Евразийской экономической комиссии от 16.10.2018 N 160</w:t>
      </w:r>
      <w:r>
        <w:rPr>
          <w:rStyle w:val="ad"/>
          <w:rFonts w:ascii="Times New Roman" w:hAnsi="Times New Roman" w:cs="Times New Roman"/>
          <w:sz w:val="28"/>
          <w:szCs w:val="28"/>
        </w:rPr>
        <w:footnoteReference w:id="10"/>
      </w:r>
      <w:r w:rsidR="00791B1B">
        <w:rPr>
          <w:rFonts w:ascii="Times New Roman" w:hAnsi="Times New Roman" w:cs="Times New Roman"/>
          <w:sz w:val="28"/>
          <w:szCs w:val="28"/>
        </w:rPr>
        <w:t>, а</w:t>
      </w:r>
      <w:r w:rsidR="00F30D8D" w:rsidRPr="00F30D8D">
        <w:t xml:space="preserve"> </w:t>
      </w:r>
      <w:r w:rsidR="00F30D8D" w:rsidRPr="00F30D8D">
        <w:rPr>
          <w:sz w:val="28"/>
          <w:szCs w:val="28"/>
        </w:rPr>
        <w:t>с</w:t>
      </w:r>
      <w:r w:rsidR="00F30D8D" w:rsidRPr="00F30D8D">
        <w:rPr>
          <w:rFonts w:ascii="Times New Roman" w:hAnsi="Times New Roman" w:cs="Times New Roman"/>
          <w:sz w:val="28"/>
          <w:szCs w:val="28"/>
        </w:rPr>
        <w:t>труктуру и формат электронной копии декларации таможенной стоимости (ф. ДТС-1 и ДТС-2)</w:t>
      </w:r>
      <w:r w:rsidR="00791B1B">
        <w:rPr>
          <w:rFonts w:ascii="Times New Roman" w:hAnsi="Times New Roman" w:cs="Times New Roman"/>
          <w:sz w:val="28"/>
          <w:szCs w:val="28"/>
        </w:rPr>
        <w:t xml:space="preserve"> </w:t>
      </w:r>
      <w:r w:rsidR="00F30D8D">
        <w:rPr>
          <w:rFonts w:ascii="Times New Roman" w:hAnsi="Times New Roman" w:cs="Times New Roman"/>
          <w:sz w:val="28"/>
          <w:szCs w:val="28"/>
        </w:rPr>
        <w:t xml:space="preserve">определяет </w:t>
      </w:r>
      <w:r w:rsidR="00F30D8D" w:rsidRPr="00F30D8D">
        <w:rPr>
          <w:rFonts w:ascii="Times New Roman" w:hAnsi="Times New Roman" w:cs="Times New Roman"/>
          <w:sz w:val="28"/>
          <w:szCs w:val="28"/>
        </w:rPr>
        <w:t>Решение Коллегии Евразийской экономической комиссии от 12 ноября 2013 г. № 254</w:t>
      </w:r>
      <w:r w:rsidR="00791B1B">
        <w:rPr>
          <w:rStyle w:val="ad"/>
          <w:rFonts w:ascii="Times New Roman" w:hAnsi="Times New Roman" w:cs="Times New Roman"/>
          <w:sz w:val="28"/>
          <w:szCs w:val="28"/>
        </w:rPr>
        <w:footnoteReference w:id="11"/>
      </w:r>
      <w:r>
        <w:rPr>
          <w:rFonts w:ascii="Times New Roman" w:hAnsi="Times New Roman" w:cs="Times New Roman"/>
          <w:sz w:val="28"/>
          <w:szCs w:val="28"/>
        </w:rPr>
        <w:t>.</w:t>
      </w:r>
    </w:p>
    <w:p w14:paraId="1F350E49" w14:textId="2D2A6C5E" w:rsidR="003A2509" w:rsidRPr="003A2509" w:rsidRDefault="00E52EF0" w:rsidP="003A2509">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Ведомственным нормативно-правовым актом, определяющим порядок </w:t>
      </w:r>
      <w:r w:rsidRPr="00E52EF0">
        <w:rPr>
          <w:rFonts w:ascii="Times New Roman" w:hAnsi="Times New Roman" w:cs="Times New Roman"/>
          <w:sz w:val="28"/>
          <w:szCs w:val="28"/>
        </w:rPr>
        <w:t xml:space="preserve">действий должностных лиц таможенных органов при таможенном контроле таможенной стоимости товаров, ввозимых в Российскую Федерацию или вывозимых </w:t>
      </w:r>
      <w:r w:rsidR="002D2F2B" w:rsidRPr="00E52EF0">
        <w:rPr>
          <w:rFonts w:ascii="Times New Roman" w:hAnsi="Times New Roman" w:cs="Times New Roman"/>
          <w:sz w:val="28"/>
          <w:szCs w:val="28"/>
        </w:rPr>
        <w:t>из Российской Федерации,</w:t>
      </w:r>
      <w:r>
        <w:rPr>
          <w:rFonts w:ascii="Times New Roman" w:hAnsi="Times New Roman" w:cs="Times New Roman"/>
          <w:sz w:val="28"/>
          <w:szCs w:val="28"/>
        </w:rPr>
        <w:t xml:space="preserve"> является </w:t>
      </w:r>
      <w:r w:rsidRPr="00E52EF0">
        <w:rPr>
          <w:rFonts w:ascii="Times New Roman" w:hAnsi="Times New Roman" w:cs="Times New Roman"/>
          <w:sz w:val="28"/>
          <w:szCs w:val="28"/>
        </w:rPr>
        <w:t>Приказ ФТС России от 21.05.2021 N 436</w:t>
      </w:r>
      <w:r>
        <w:rPr>
          <w:rStyle w:val="ad"/>
          <w:rFonts w:ascii="Times New Roman" w:hAnsi="Times New Roman" w:cs="Times New Roman"/>
          <w:sz w:val="28"/>
          <w:szCs w:val="28"/>
        </w:rPr>
        <w:footnoteReference w:id="12"/>
      </w:r>
      <w:r w:rsidRPr="00E52EF0">
        <w:rPr>
          <w:rFonts w:ascii="Times New Roman" w:hAnsi="Times New Roman" w:cs="Times New Roman"/>
          <w:sz w:val="28"/>
          <w:szCs w:val="28"/>
        </w:rPr>
        <w:t xml:space="preserve"> </w:t>
      </w:r>
      <w:r>
        <w:rPr>
          <w:rFonts w:ascii="Times New Roman" w:hAnsi="Times New Roman" w:cs="Times New Roman"/>
          <w:sz w:val="28"/>
          <w:szCs w:val="28"/>
        </w:rPr>
        <w:t>.</w:t>
      </w:r>
    </w:p>
    <w:p w14:paraId="118F2215" w14:textId="09CC988C" w:rsidR="005D224E" w:rsidRDefault="005D224E" w:rsidP="005D224E">
      <w:pPr>
        <w:spacing w:after="0" w:line="360" w:lineRule="auto"/>
        <w:ind w:firstLine="709"/>
        <w:jc w:val="both"/>
        <w:rPr>
          <w:rFonts w:ascii="Times New Roman" w:hAnsi="Times New Roman" w:cs="Times New Roman"/>
          <w:sz w:val="28"/>
          <w:szCs w:val="28"/>
        </w:rPr>
      </w:pPr>
      <w:r w:rsidRPr="00A54FF7">
        <w:rPr>
          <w:rFonts w:ascii="Times New Roman" w:hAnsi="Times New Roman" w:cs="Times New Roman"/>
          <w:sz w:val="28"/>
          <w:szCs w:val="28"/>
        </w:rPr>
        <w:lastRenderedPageBreak/>
        <w:t>Таким образом</w:t>
      </w:r>
      <w:r w:rsidR="005D7038">
        <w:rPr>
          <w:rFonts w:ascii="Times New Roman" w:hAnsi="Times New Roman" w:cs="Times New Roman"/>
          <w:sz w:val="28"/>
          <w:szCs w:val="28"/>
        </w:rPr>
        <w:t>, о</w:t>
      </w:r>
      <w:r w:rsidR="00A54FF7" w:rsidRPr="00A54FF7">
        <w:rPr>
          <w:rFonts w:ascii="Times New Roman" w:hAnsi="Times New Roman" w:cs="Times New Roman"/>
          <w:sz w:val="28"/>
          <w:szCs w:val="28"/>
        </w:rPr>
        <w:t xml:space="preserve">снову современной процедуры таможенной оценки товаров, принятой в большинстве стран мира, составляют статья VII Генерального соглашения по тарифам и торговле (ГАТТ) и Соглашение о применении статьи VII Генерального соглашения по тарифам и торговле 1994 года. Российская Федерация является участницей </w:t>
      </w:r>
      <w:r w:rsidR="00A54FF7">
        <w:rPr>
          <w:rFonts w:ascii="Times New Roman" w:hAnsi="Times New Roman" w:cs="Times New Roman"/>
          <w:sz w:val="28"/>
          <w:szCs w:val="28"/>
        </w:rPr>
        <w:t>ВТО</w:t>
      </w:r>
      <w:r w:rsidR="00A54FF7" w:rsidRPr="00A54FF7">
        <w:rPr>
          <w:rFonts w:ascii="Times New Roman" w:hAnsi="Times New Roman" w:cs="Times New Roman"/>
          <w:sz w:val="28"/>
          <w:szCs w:val="28"/>
        </w:rPr>
        <w:t xml:space="preserve">, </w:t>
      </w:r>
      <w:r w:rsidR="00A54FF7">
        <w:rPr>
          <w:rFonts w:ascii="Times New Roman" w:hAnsi="Times New Roman" w:cs="Times New Roman"/>
          <w:sz w:val="28"/>
          <w:szCs w:val="28"/>
        </w:rPr>
        <w:t xml:space="preserve">и применение и </w:t>
      </w:r>
      <w:r w:rsidR="00A54FF7" w:rsidRPr="00A54FF7">
        <w:rPr>
          <w:rFonts w:ascii="Times New Roman" w:hAnsi="Times New Roman" w:cs="Times New Roman"/>
          <w:sz w:val="28"/>
          <w:szCs w:val="28"/>
        </w:rPr>
        <w:t>ею международных стандартов, в том числе в области таможенной оценки товаров</w:t>
      </w:r>
      <w:r w:rsidR="00A54FF7">
        <w:rPr>
          <w:rFonts w:ascii="Times New Roman" w:hAnsi="Times New Roman" w:cs="Times New Roman"/>
          <w:sz w:val="28"/>
          <w:szCs w:val="28"/>
        </w:rPr>
        <w:t xml:space="preserve"> в национальном законодательстве</w:t>
      </w:r>
      <w:r w:rsidR="00A54FF7" w:rsidRPr="00A54FF7">
        <w:rPr>
          <w:rFonts w:ascii="Times New Roman" w:hAnsi="Times New Roman" w:cs="Times New Roman"/>
          <w:sz w:val="28"/>
          <w:szCs w:val="28"/>
        </w:rPr>
        <w:t xml:space="preserve">, отвечает ее </w:t>
      </w:r>
      <w:proofErr w:type="gramStart"/>
      <w:r w:rsidR="00A54FF7" w:rsidRPr="00A54FF7">
        <w:rPr>
          <w:rFonts w:ascii="Times New Roman" w:hAnsi="Times New Roman" w:cs="Times New Roman"/>
          <w:sz w:val="28"/>
          <w:szCs w:val="28"/>
        </w:rPr>
        <w:t xml:space="preserve">интересам </w:t>
      </w:r>
      <w:r w:rsidR="0008678C">
        <w:rPr>
          <w:rFonts w:ascii="Times New Roman" w:hAnsi="Times New Roman" w:cs="Times New Roman"/>
          <w:sz w:val="28"/>
          <w:szCs w:val="28"/>
        </w:rPr>
        <w:t xml:space="preserve"> и</w:t>
      </w:r>
      <w:proofErr w:type="gramEnd"/>
      <w:r w:rsidR="0008678C">
        <w:rPr>
          <w:rFonts w:ascii="Times New Roman" w:hAnsi="Times New Roman" w:cs="Times New Roman"/>
          <w:sz w:val="28"/>
          <w:szCs w:val="28"/>
        </w:rPr>
        <w:t xml:space="preserve"> интересам стран-участниц ЕАЭС </w:t>
      </w:r>
      <w:r w:rsidR="00A54FF7" w:rsidRPr="00A54FF7">
        <w:rPr>
          <w:rFonts w:ascii="Times New Roman" w:hAnsi="Times New Roman" w:cs="Times New Roman"/>
          <w:sz w:val="28"/>
          <w:szCs w:val="28"/>
        </w:rPr>
        <w:t xml:space="preserve">по интеграции в международные экономические отношения, расширению торговых связей. </w:t>
      </w:r>
    </w:p>
    <w:p w14:paraId="75D30A30" w14:textId="6AA0A913" w:rsidR="005D224E" w:rsidRPr="00E03247" w:rsidRDefault="00906C80" w:rsidP="005D224E">
      <w:pPr>
        <w:tabs>
          <w:tab w:val="left" w:pos="7513"/>
        </w:tabs>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Вывод по главе</w:t>
      </w:r>
      <w:r w:rsidR="008B01B0">
        <w:rPr>
          <w:rFonts w:ascii="Times New Roman" w:hAnsi="Times New Roman" w:cs="Times New Roman"/>
          <w:sz w:val="28"/>
          <w:szCs w:val="28"/>
        </w:rPr>
        <w:t>.</w:t>
      </w:r>
      <w:r>
        <w:rPr>
          <w:rFonts w:ascii="Times New Roman" w:hAnsi="Times New Roman" w:cs="Times New Roman"/>
          <w:sz w:val="28"/>
          <w:szCs w:val="28"/>
        </w:rPr>
        <w:t xml:space="preserve"> </w:t>
      </w:r>
      <w:r w:rsidR="005D224E" w:rsidRPr="00E03247">
        <w:rPr>
          <w:rFonts w:ascii="Times New Roman" w:hAnsi="Times New Roman" w:cs="Times New Roman"/>
          <w:sz w:val="28"/>
          <w:szCs w:val="28"/>
        </w:rPr>
        <w:t>Так</w:t>
      </w:r>
      <w:r w:rsidR="008B01B0">
        <w:rPr>
          <w:rFonts w:ascii="Times New Roman" w:hAnsi="Times New Roman" w:cs="Times New Roman"/>
          <w:sz w:val="28"/>
          <w:szCs w:val="28"/>
        </w:rPr>
        <w:t>им образом,</w:t>
      </w:r>
      <w:r w:rsidR="005D224E" w:rsidRPr="00E03247">
        <w:rPr>
          <w:rFonts w:ascii="Times New Roman" w:hAnsi="Times New Roman" w:cs="Times New Roman"/>
          <w:sz w:val="28"/>
          <w:szCs w:val="28"/>
        </w:rPr>
        <w:t xml:space="preserve"> таможенная стоимость влияет на объем ввозных</w:t>
      </w:r>
      <w:r w:rsidR="005D224E">
        <w:rPr>
          <w:rFonts w:ascii="Times New Roman" w:hAnsi="Times New Roman" w:cs="Times New Roman"/>
          <w:sz w:val="28"/>
          <w:szCs w:val="28"/>
        </w:rPr>
        <w:t xml:space="preserve"> и вывозных</w:t>
      </w:r>
      <w:r w:rsidR="005D224E" w:rsidRPr="00E03247">
        <w:rPr>
          <w:rFonts w:ascii="Times New Roman" w:hAnsi="Times New Roman" w:cs="Times New Roman"/>
          <w:sz w:val="28"/>
          <w:szCs w:val="28"/>
        </w:rPr>
        <w:t xml:space="preserve"> таможенных пошлин</w:t>
      </w:r>
      <w:r w:rsidR="005D224E">
        <w:rPr>
          <w:rFonts w:ascii="Times New Roman" w:hAnsi="Times New Roman" w:cs="Times New Roman"/>
          <w:sz w:val="28"/>
          <w:szCs w:val="28"/>
        </w:rPr>
        <w:t>, а также специальных, антидемпинговых и компенсационных</w:t>
      </w:r>
      <w:r w:rsidR="005D224E" w:rsidRPr="00E03247">
        <w:rPr>
          <w:rFonts w:ascii="Times New Roman" w:hAnsi="Times New Roman" w:cs="Times New Roman"/>
          <w:sz w:val="28"/>
          <w:szCs w:val="28"/>
        </w:rPr>
        <w:t>, и как следствие, влияет на доходную часть федерального бюджета. Именно поэтому, ее верное определение имеет такое важное значение.</w:t>
      </w:r>
    </w:p>
    <w:p w14:paraId="3C3ACB8C" w14:textId="77777777" w:rsidR="005D224E" w:rsidRPr="00E03247" w:rsidRDefault="005D224E" w:rsidP="005D224E">
      <w:pPr>
        <w:tabs>
          <w:tab w:val="left" w:pos="7513"/>
        </w:tabs>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Следует отметить следующий факт, что при импорте уплата таможенных пошлин увеличивает себестоимость ввозимых товаров, что может сказаться на понижении финансового результата хозяйственной деятельности зарубежной фирмы. Таким образом, чем выше будет представлена таможенная стоимость, тем меньше может оказаться эффект экспортной или импортной операции.</w:t>
      </w:r>
    </w:p>
    <w:p w14:paraId="369F9A4B" w14:textId="77777777" w:rsidR="005D224E"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Помимо того, с помощью ставок таможенных пошлин проводится защита национальных производителей. Устанавливая высокие ставки ввозных таможенных пошлин государство регулирует количество импорта определенной категории товаров, тем самым помогая отечественному рынку данных товаров. И наоборот, снижая ставки, оно позволяет проникать иностранным товарам на внутренний рынок, тем самым стимулируя конкурентоспособность национальных производителей.</w:t>
      </w:r>
    </w:p>
    <w:p w14:paraId="22EC11CC" w14:textId="26ABF365" w:rsidR="005D224E" w:rsidRDefault="005D224E" w:rsidP="00C70EAB">
      <w:pPr>
        <w:spacing w:after="0" w:line="360" w:lineRule="auto"/>
        <w:ind w:firstLine="709"/>
        <w:jc w:val="both"/>
        <w:rPr>
          <w:rFonts w:ascii="Times New Roman" w:eastAsia="Times New Roman" w:hAnsi="Times New Roman" w:cs="Times New Roman"/>
          <w:sz w:val="28"/>
          <w:szCs w:val="28"/>
          <w:lang w:eastAsia="ru-RU"/>
        </w:rPr>
      </w:pPr>
      <w:r w:rsidRPr="00E03247">
        <w:rPr>
          <w:rFonts w:ascii="Times New Roman" w:hAnsi="Times New Roman" w:cs="Times New Roman"/>
          <w:sz w:val="28"/>
          <w:szCs w:val="28"/>
        </w:rPr>
        <w:t xml:space="preserve">Подводя итог исследования теоретических и организационно-правовых основ таможенной оценки товаров, необходимо подчеркнуть следующие факты. </w:t>
      </w:r>
      <w:r>
        <w:rPr>
          <w:rFonts w:ascii="Times New Roman" w:hAnsi="Times New Roman" w:cs="Times New Roman"/>
          <w:sz w:val="28"/>
          <w:szCs w:val="28"/>
        </w:rPr>
        <w:t xml:space="preserve">Таможенная стоимость – база для исчисления таможенных пошлин, взимаемых </w:t>
      </w:r>
      <w:r>
        <w:rPr>
          <w:rFonts w:ascii="Times New Roman" w:hAnsi="Times New Roman" w:cs="Times New Roman"/>
          <w:sz w:val="28"/>
          <w:szCs w:val="28"/>
        </w:rPr>
        <w:lastRenderedPageBreak/>
        <w:t xml:space="preserve">по адвалорной ставке, а также специальных, антидемпинговых и компенсационных пошлин. Помимо прочего она является важной составляющей налоговой базы НДС при ввозе товаров. От величины таможенной зависит сумма таможенных платежей, которые будут перечислены в бюджет. Нормативное регулирование таможенной стоимости </w:t>
      </w:r>
      <w:r w:rsidRPr="00E03247">
        <w:rPr>
          <w:rFonts w:ascii="Times New Roman" w:hAnsi="Times New Roman" w:cs="Times New Roman"/>
          <w:sz w:val="28"/>
          <w:szCs w:val="28"/>
        </w:rPr>
        <w:t xml:space="preserve">на международном уровне </w:t>
      </w:r>
      <w:r>
        <w:rPr>
          <w:rFonts w:ascii="Times New Roman" w:hAnsi="Times New Roman" w:cs="Times New Roman"/>
          <w:sz w:val="28"/>
          <w:szCs w:val="28"/>
        </w:rPr>
        <w:t xml:space="preserve">представлено </w:t>
      </w:r>
      <w:r w:rsidRPr="00E03247">
        <w:rPr>
          <w:rFonts w:ascii="Times New Roman" w:hAnsi="Times New Roman" w:cs="Times New Roman"/>
          <w:sz w:val="28"/>
          <w:szCs w:val="28"/>
        </w:rPr>
        <w:t xml:space="preserve">Генеральным соглашением по тарифам и торговле, на базе которого строится </w:t>
      </w:r>
      <w:r>
        <w:rPr>
          <w:rFonts w:ascii="Times New Roman" w:hAnsi="Times New Roman" w:cs="Times New Roman"/>
          <w:sz w:val="28"/>
          <w:szCs w:val="28"/>
        </w:rPr>
        <w:t xml:space="preserve">наднациональное и национальное </w:t>
      </w:r>
      <w:r w:rsidRPr="00E03247">
        <w:rPr>
          <w:rFonts w:ascii="Times New Roman" w:hAnsi="Times New Roman" w:cs="Times New Roman"/>
          <w:sz w:val="28"/>
          <w:szCs w:val="28"/>
        </w:rPr>
        <w:t>законодательство по данному вопросу. Система определения таможенной стоимости состоит из шести методов. Основной метод – метод по стоимости сделки с ввозимыми товарами, которые имеет свои особенности применения. Верное определение таможенной стоимости способствует эффективному функционированию таких институтов таможенно-тарифного регулирования, как таможенные пошлины, а также таможенный тариф. Все это способствует благоприятному развитию национальной экономики страны.</w:t>
      </w:r>
      <w:r>
        <w:rPr>
          <w:rFonts w:ascii="Times New Roman" w:eastAsia="Times New Roman" w:hAnsi="Times New Roman" w:cs="Times New Roman"/>
          <w:sz w:val="28"/>
          <w:szCs w:val="28"/>
          <w:lang w:eastAsia="ru-RU"/>
        </w:rPr>
        <w:br w:type="page"/>
      </w:r>
    </w:p>
    <w:p w14:paraId="557387F0" w14:textId="77777777" w:rsidR="005D224E" w:rsidRDefault="005D224E" w:rsidP="005D224E">
      <w:pPr>
        <w:pStyle w:val="a3"/>
        <w:suppressAutoHyphens/>
        <w:spacing w:before="0" w:line="240" w:lineRule="auto"/>
        <w:jc w:val="center"/>
        <w:rPr>
          <w:color w:val="auto"/>
        </w:rPr>
      </w:pPr>
      <w:bookmarkStart w:id="22" w:name="_Toc152675673"/>
      <w:r w:rsidRPr="00DB6DB7">
        <w:rPr>
          <w:color w:val="auto"/>
        </w:rPr>
        <w:lastRenderedPageBreak/>
        <w:t>ГЛАВА 2. ПРАКТИКА ПРИМЕНЕНИЯ ТАМОЖЕННОЙ ОЦЕНКИ ТОВАРОВ</w:t>
      </w:r>
      <w:bookmarkEnd w:id="22"/>
    </w:p>
    <w:p w14:paraId="4C32F14E" w14:textId="77777777" w:rsidR="005D224E" w:rsidRPr="00DB6DB7" w:rsidRDefault="005D224E" w:rsidP="005D224E">
      <w:pPr>
        <w:pStyle w:val="a3"/>
        <w:suppressAutoHyphens/>
        <w:spacing w:before="0" w:line="240" w:lineRule="auto"/>
        <w:rPr>
          <w:color w:val="auto"/>
        </w:rPr>
      </w:pPr>
    </w:p>
    <w:p w14:paraId="5960257C" w14:textId="77777777" w:rsidR="005D224E" w:rsidRDefault="005D224E" w:rsidP="005D224E">
      <w:pPr>
        <w:spacing w:after="0" w:line="240" w:lineRule="auto"/>
        <w:jc w:val="center"/>
        <w:rPr>
          <w:rFonts w:ascii="Times New Roman" w:hAnsi="Times New Roman" w:cs="Times New Roman"/>
          <w:b/>
          <w:sz w:val="28"/>
          <w:szCs w:val="28"/>
        </w:rPr>
      </w:pPr>
      <w:r w:rsidRPr="00DB6DB7">
        <w:rPr>
          <w:rFonts w:ascii="Times New Roman" w:hAnsi="Times New Roman" w:cs="Times New Roman"/>
          <w:b/>
          <w:sz w:val="28"/>
          <w:szCs w:val="28"/>
        </w:rPr>
        <w:t>2.1. Порядок определения и декларирования таможенной стоимости</w:t>
      </w:r>
    </w:p>
    <w:p w14:paraId="588AF251" w14:textId="77777777" w:rsidR="005D224E" w:rsidRDefault="005D224E" w:rsidP="005D224E">
      <w:pPr>
        <w:spacing w:after="0" w:line="360" w:lineRule="auto"/>
        <w:jc w:val="center"/>
        <w:rPr>
          <w:rFonts w:ascii="Times New Roman" w:hAnsi="Times New Roman" w:cs="Times New Roman"/>
          <w:b/>
          <w:sz w:val="28"/>
          <w:szCs w:val="28"/>
        </w:rPr>
      </w:pPr>
    </w:p>
    <w:p w14:paraId="657EF952" w14:textId="77777777" w:rsidR="005D224E"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Порядок определения таможенной стоимости базируется на системе методов определения таможенной стоимости, которая была рассмотрена ранее. Для начала декларант анализирует обстоятельства сделки купли-продажи товаров, а затем выбирает метод, по которому будет определена таможенная стоимость. При этом стоит еще раз подчеркнуть, что методы применяются последовательно. В случае, когда из характера сделки можно сделать вывод, что стоимость должна быть определена по стоимости сделки с однородными товарами (метод 3), необходимо обоснование невозможности применения первых двух методов. Довольно часто определение таможенной стоимости декларантом, а также ее непринятие таможенным органом метода определения, приводят к спорам, которые заканчиваются процедурой обжалования или судебным решением.</w:t>
      </w:r>
      <w:r>
        <w:rPr>
          <w:rFonts w:ascii="Times New Roman" w:hAnsi="Times New Roman" w:cs="Times New Roman"/>
          <w:sz w:val="28"/>
          <w:szCs w:val="28"/>
        </w:rPr>
        <w:t xml:space="preserve"> По данным отдела контроля таможенной стоимости Шереметьевской таможни в 90% случаев декларант заявляет таможенную стоимость по методу по стоимости сделки с ввозимыми товарами. Также наиболее распространенным является </w:t>
      </w:r>
      <w:proofErr w:type="gramStart"/>
      <w:r>
        <w:rPr>
          <w:rFonts w:ascii="Times New Roman" w:hAnsi="Times New Roman" w:cs="Times New Roman"/>
          <w:sz w:val="28"/>
          <w:szCs w:val="28"/>
        </w:rPr>
        <w:t>резервный метод</w:t>
      </w:r>
      <w:proofErr w:type="gramEnd"/>
      <w:r>
        <w:rPr>
          <w:rFonts w:ascii="Times New Roman" w:hAnsi="Times New Roman" w:cs="Times New Roman"/>
          <w:sz w:val="28"/>
          <w:szCs w:val="28"/>
        </w:rPr>
        <w:t xml:space="preserve"> применяемый на базе метода 1. Это связанно с тем, что данные методы наиболее удобны и просты для применения. В случаях, когда таможенный орган определяет таможенную стоимость товаров, то в 90% случаев используется резервный метод на базе метода 3. Данный факт объясняется тем, что метод по стоимости с однородными товарами позволяет расширить поиск вариантов необходимой для определения таможенной стоимости ценовой информации.</w:t>
      </w:r>
    </w:p>
    <w:p w14:paraId="532FAE35" w14:textId="77777777" w:rsidR="005D224E" w:rsidRPr="00E03247"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Если в соответствии с наднациональным правом и национальным законодательством в отношении товаров не возникает обязанность по уплате вывозных таможенных пошлин, для которых база для исчисления – таможенная </w:t>
      </w:r>
      <w:r>
        <w:rPr>
          <w:rFonts w:ascii="Times New Roman" w:hAnsi="Times New Roman" w:cs="Times New Roman"/>
          <w:sz w:val="28"/>
          <w:szCs w:val="28"/>
        </w:rPr>
        <w:lastRenderedPageBreak/>
        <w:t>стоимость, то при вывозе товаров таможенная стоимость не определяется и не заявляется.</w:t>
      </w:r>
    </w:p>
    <w:p w14:paraId="673B04EA" w14:textId="77777777" w:rsidR="005D224E" w:rsidRPr="00E03247"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Данные о таможенной стоимости указываются в 12 и 45 графах декларации на товары в валюте государства-члена. В соответствии с пунктом вторым статьи 105 ТК ЕАЭС в декларации таможенной стоимости содержатся сведения непосредственно о таможенной стоимости товаров, включая метод ее определения, величину и обстоятельства сделки. Случаи заполнения декларации определяются Комиссией. Следует отметить, неотъемлемой частью декларации на товары является именно декларация таможенной стоимости (далее – ДТС).</w:t>
      </w:r>
    </w:p>
    <w:p w14:paraId="5E3860CB" w14:textId="77777777" w:rsidR="005D224E" w:rsidRDefault="005D224E" w:rsidP="005D224E">
      <w:pPr>
        <w:spacing w:after="0" w:line="360" w:lineRule="auto"/>
        <w:ind w:firstLine="709"/>
        <w:jc w:val="both"/>
        <w:rPr>
          <w:rFonts w:ascii="Times New Roman" w:hAnsi="Times New Roman" w:cs="Times New Roman"/>
          <w:sz w:val="28"/>
          <w:szCs w:val="28"/>
        </w:rPr>
      </w:pPr>
      <w:bookmarkStart w:id="23" w:name="dst101424"/>
      <w:bookmarkEnd w:id="23"/>
      <w:r w:rsidRPr="00E03247">
        <w:rPr>
          <w:rFonts w:ascii="Times New Roman" w:hAnsi="Times New Roman" w:cs="Times New Roman"/>
          <w:sz w:val="28"/>
          <w:szCs w:val="28"/>
        </w:rPr>
        <w:t>ДТС заполняется декларантом или таможенным представителем, если таможенное декларирование производится таможенным представителем.</w:t>
      </w:r>
      <w:r>
        <w:rPr>
          <w:rFonts w:ascii="Times New Roman" w:hAnsi="Times New Roman" w:cs="Times New Roman"/>
          <w:sz w:val="28"/>
          <w:szCs w:val="28"/>
        </w:rPr>
        <w:t xml:space="preserve"> </w:t>
      </w:r>
      <w:r w:rsidRPr="00A15F69">
        <w:rPr>
          <w:rFonts w:ascii="Times New Roman" w:hAnsi="Times New Roman" w:cs="Times New Roman"/>
          <w:sz w:val="28"/>
          <w:szCs w:val="28"/>
        </w:rPr>
        <w:t>В случае корректировки таможенной стоимости товаров таможенным органом ДТС заполняется уполномоченным лицом таможенного органа.</w:t>
      </w:r>
      <w:r w:rsidRPr="00E03247">
        <w:rPr>
          <w:rFonts w:ascii="Times New Roman" w:hAnsi="Times New Roman" w:cs="Times New Roman"/>
          <w:sz w:val="28"/>
          <w:szCs w:val="28"/>
        </w:rPr>
        <w:t xml:space="preserve"> Подача ДТС должна сопровождаться предоставлением таможенному органу документов, на основании которых она была заполнена.</w:t>
      </w:r>
      <w:r>
        <w:rPr>
          <w:rFonts w:ascii="Times New Roman" w:hAnsi="Times New Roman" w:cs="Times New Roman"/>
          <w:sz w:val="28"/>
          <w:szCs w:val="28"/>
        </w:rPr>
        <w:t xml:space="preserve"> Если декларация на товары (далее – ДТ) </w:t>
      </w:r>
      <w:r w:rsidRPr="00F25B5C">
        <w:rPr>
          <w:rFonts w:ascii="Times New Roman" w:hAnsi="Times New Roman" w:cs="Times New Roman"/>
          <w:sz w:val="28"/>
          <w:szCs w:val="28"/>
        </w:rPr>
        <w:t>заполняется в виде электронного документа,</w:t>
      </w:r>
      <w:r>
        <w:rPr>
          <w:rFonts w:ascii="Times New Roman" w:hAnsi="Times New Roman" w:cs="Times New Roman"/>
          <w:sz w:val="28"/>
          <w:szCs w:val="28"/>
        </w:rPr>
        <w:t xml:space="preserve"> то и ДТС будет заполняться в виде электронного документа. Аналогичное правило применяется в случае, когда ДТ заполняется в виде документа на бумажном носителе. </w:t>
      </w:r>
      <w:r w:rsidRPr="00E03247">
        <w:rPr>
          <w:rFonts w:ascii="Times New Roman" w:hAnsi="Times New Roman" w:cs="Times New Roman"/>
          <w:sz w:val="28"/>
          <w:szCs w:val="28"/>
        </w:rPr>
        <w:t>Таможенная стоимость декларируется при применении двух таможенных процедур, под которые товары помещаются при ввозе на таможенную территорию Союза. Это выпуск для внутреннего потребления и временный ввоз (допуск), а также в следующих случаях:</w:t>
      </w:r>
    </w:p>
    <w:p w14:paraId="33E63924"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B1BD7">
        <w:rPr>
          <w:rFonts w:ascii="Times New Roman" w:hAnsi="Times New Roman" w:cs="Times New Roman"/>
          <w:sz w:val="28"/>
          <w:szCs w:val="28"/>
        </w:rPr>
        <w:t>при уплате таможенных пошлин, налогов в случае, когда выявлен факт взаимосвязанности продавца и покупателя при определении таможенной стоимости по первому методу;</w:t>
      </w:r>
    </w:p>
    <w:p w14:paraId="222AFB6A"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B1BD7">
        <w:rPr>
          <w:rFonts w:ascii="Times New Roman" w:hAnsi="Times New Roman" w:cs="Times New Roman"/>
          <w:sz w:val="28"/>
          <w:szCs w:val="28"/>
        </w:rPr>
        <w:t>при применении процедуры отложенного определения таможенной стоимости;</w:t>
      </w:r>
    </w:p>
    <w:p w14:paraId="65FBC31C"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w:t>
      </w:r>
      <w:r w:rsidRPr="00EB1BD7">
        <w:rPr>
          <w:rFonts w:ascii="Times New Roman" w:hAnsi="Times New Roman" w:cs="Times New Roman"/>
          <w:sz w:val="28"/>
          <w:szCs w:val="28"/>
        </w:rPr>
        <w:t>при уплате таможенных пошлин, налогов и когда к фактически уплаченной цене в дополнение начисляются лицензионные платежи за использование объектов интеллектуальной собственности;</w:t>
      </w:r>
    </w:p>
    <w:p w14:paraId="0678EC75"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B1BD7">
        <w:rPr>
          <w:rFonts w:ascii="Times New Roman" w:hAnsi="Times New Roman" w:cs="Times New Roman"/>
          <w:sz w:val="28"/>
          <w:szCs w:val="28"/>
        </w:rPr>
        <w:t>при проявление декларантом инициативы;</w:t>
      </w:r>
    </w:p>
    <w:p w14:paraId="6813EB77"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B1BD7">
        <w:rPr>
          <w:rFonts w:ascii="Times New Roman" w:hAnsi="Times New Roman" w:cs="Times New Roman"/>
          <w:sz w:val="28"/>
          <w:szCs w:val="28"/>
        </w:rPr>
        <w:t>при внесении изменений или дополнении сведений о таможенной стоимости товаров;</w:t>
      </w:r>
    </w:p>
    <w:p w14:paraId="5F3D1F74"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w:t>
      </w:r>
      <w:r w:rsidRPr="00EB1BD7">
        <w:rPr>
          <w:rFonts w:ascii="Times New Roman" w:hAnsi="Times New Roman" w:cs="Times New Roman"/>
          <w:sz w:val="28"/>
          <w:szCs w:val="28"/>
        </w:rPr>
        <w:t>если в ходе проведения таможенного контроля таможенной стоимости товаров были запрошены коммерческие, бухгалтерские и иные документы, таможенный орган может потребовать заполнить декларацию таможенной стоимости.</w:t>
      </w:r>
    </w:p>
    <w:p w14:paraId="46EC7C35"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Все формы ДТС (ДТС-1, ДТС-2, ДТС-3, ДТС-4) имеют схожую структуру </w:t>
      </w:r>
      <w:r w:rsidRPr="00A15F69">
        <w:rPr>
          <w:rFonts w:ascii="Times New Roman" w:hAnsi="Times New Roman" w:cs="Times New Roman"/>
          <w:sz w:val="28"/>
          <w:szCs w:val="28"/>
        </w:rPr>
        <w:t xml:space="preserve">из двух основных и необходимого числа дополнительных листов. </w:t>
      </w:r>
      <w:r>
        <w:rPr>
          <w:rFonts w:ascii="Times New Roman" w:hAnsi="Times New Roman" w:cs="Times New Roman"/>
          <w:sz w:val="28"/>
          <w:szCs w:val="28"/>
        </w:rPr>
        <w:t>На первом основном листе содержатся сведения о товарах, заявленных в ДТ. На втором основном листе подлежат указанию сведения, которые использовались при определении таможенной стоимости и непосредственно расчет таможенной стоимости. Другие листы ДТС считаются дополнительными и начинаю</w:t>
      </w:r>
      <w:r w:rsidRPr="00A15F69">
        <w:rPr>
          <w:rFonts w:ascii="Times New Roman" w:hAnsi="Times New Roman" w:cs="Times New Roman"/>
          <w:sz w:val="28"/>
          <w:szCs w:val="28"/>
        </w:rPr>
        <w:t>тся с третьего номера</w:t>
      </w:r>
      <w:r>
        <w:rPr>
          <w:rFonts w:ascii="Times New Roman" w:hAnsi="Times New Roman" w:cs="Times New Roman"/>
          <w:sz w:val="28"/>
          <w:szCs w:val="28"/>
        </w:rPr>
        <w:t>.</w:t>
      </w:r>
    </w:p>
    <w:p w14:paraId="7965D9A3"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 ввозе товаров используются формы ДТС-1 и ДТС-2, порядок заполнения которых установлен в </w:t>
      </w:r>
      <w:r w:rsidRPr="00F67D53">
        <w:rPr>
          <w:rFonts w:ascii="Times New Roman" w:hAnsi="Times New Roman" w:cs="Times New Roman"/>
          <w:bCs/>
          <w:sz w:val="28"/>
          <w:szCs w:val="28"/>
        </w:rPr>
        <w:t>Решение Кол</w:t>
      </w:r>
      <w:r>
        <w:rPr>
          <w:rFonts w:ascii="Times New Roman" w:hAnsi="Times New Roman" w:cs="Times New Roman"/>
          <w:bCs/>
          <w:sz w:val="28"/>
          <w:szCs w:val="28"/>
        </w:rPr>
        <w:t xml:space="preserve">легии Евразийской экономической </w:t>
      </w:r>
      <w:r w:rsidRPr="00F67D53">
        <w:rPr>
          <w:rFonts w:ascii="Times New Roman" w:hAnsi="Times New Roman" w:cs="Times New Roman"/>
          <w:bCs/>
          <w:sz w:val="28"/>
          <w:szCs w:val="28"/>
        </w:rPr>
        <w:t>комиссии</w:t>
      </w:r>
      <w:r>
        <w:rPr>
          <w:rFonts w:ascii="Times New Roman" w:hAnsi="Times New Roman" w:cs="Times New Roman"/>
          <w:bCs/>
          <w:sz w:val="28"/>
          <w:szCs w:val="28"/>
        </w:rPr>
        <w:t xml:space="preserve"> от 16 октября 2018 г. №</w:t>
      </w:r>
      <w:r w:rsidRPr="00F67D53">
        <w:rPr>
          <w:rFonts w:ascii="Times New Roman" w:hAnsi="Times New Roman" w:cs="Times New Roman"/>
          <w:bCs/>
          <w:sz w:val="28"/>
          <w:szCs w:val="28"/>
        </w:rPr>
        <w:t xml:space="preserve"> 160</w:t>
      </w:r>
      <w:r>
        <w:rPr>
          <w:rFonts w:ascii="Times New Roman" w:hAnsi="Times New Roman" w:cs="Times New Roman"/>
          <w:bCs/>
          <w:sz w:val="28"/>
          <w:szCs w:val="28"/>
        </w:rPr>
        <w:t>.</w:t>
      </w:r>
      <w:r w:rsidRPr="00F67D53">
        <w:rPr>
          <w:rFonts w:ascii="Times New Roman" w:hAnsi="Times New Roman" w:cs="Times New Roman"/>
          <w:sz w:val="28"/>
          <w:szCs w:val="28"/>
        </w:rPr>
        <w:t xml:space="preserve"> </w:t>
      </w:r>
      <w:r>
        <w:rPr>
          <w:rFonts w:ascii="Times New Roman" w:hAnsi="Times New Roman" w:cs="Times New Roman"/>
          <w:sz w:val="28"/>
          <w:szCs w:val="28"/>
        </w:rPr>
        <w:t xml:space="preserve">При определении таможенной стоимости по первому методу заполняется ДТС-1. Для остальных методов необходимо заполнить ДТС-2, при этом стоит отметить, что форма основного листа ДТС-2 едина для всех методов определения таможенной стоимости (за исключением метода </w:t>
      </w:r>
      <w:r w:rsidRPr="009755CD">
        <w:rPr>
          <w:rFonts w:ascii="Times New Roman" w:hAnsi="Times New Roman" w:cs="Times New Roman"/>
          <w:sz w:val="28"/>
          <w:szCs w:val="28"/>
        </w:rPr>
        <w:t>по стоимости сделки с ввозимыми товарами</w:t>
      </w:r>
      <w:r>
        <w:rPr>
          <w:rFonts w:ascii="Times New Roman" w:hAnsi="Times New Roman" w:cs="Times New Roman"/>
          <w:sz w:val="28"/>
          <w:szCs w:val="28"/>
        </w:rPr>
        <w:t xml:space="preserve">). Второй лист заполняется исходя из выбранного метода определения таможенной стоимости, в соответствии с </w:t>
      </w:r>
      <w:r w:rsidRPr="00F25B5C">
        <w:rPr>
          <w:rFonts w:ascii="Times New Roman" w:hAnsi="Times New Roman" w:cs="Times New Roman"/>
          <w:sz w:val="28"/>
          <w:szCs w:val="28"/>
        </w:rPr>
        <w:t>одной из четырех установленных форм</w:t>
      </w:r>
      <w:r>
        <w:rPr>
          <w:rFonts w:ascii="Times New Roman" w:hAnsi="Times New Roman" w:cs="Times New Roman"/>
          <w:sz w:val="28"/>
          <w:szCs w:val="28"/>
        </w:rPr>
        <w:t>:</w:t>
      </w:r>
    </w:p>
    <w:p w14:paraId="535B40FE" w14:textId="77777777" w:rsidR="005D224E" w:rsidRPr="009755CD"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форма для метода 2 и метода 3, а также для резервного метода (метод 6) </w:t>
      </w:r>
      <w:r w:rsidRPr="009755CD">
        <w:rPr>
          <w:rFonts w:ascii="Times New Roman" w:hAnsi="Times New Roman" w:cs="Times New Roman"/>
          <w:sz w:val="28"/>
          <w:szCs w:val="28"/>
        </w:rPr>
        <w:t>на основе метода 2 или метода 3;</w:t>
      </w:r>
    </w:p>
    <w:p w14:paraId="6ED936FF" w14:textId="77777777" w:rsidR="005D224E" w:rsidRPr="009755CD"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 форма для </w:t>
      </w:r>
      <w:r w:rsidRPr="009755CD">
        <w:rPr>
          <w:rFonts w:ascii="Times New Roman" w:hAnsi="Times New Roman" w:cs="Times New Roman"/>
          <w:sz w:val="28"/>
          <w:szCs w:val="28"/>
        </w:rPr>
        <w:t>метод</w:t>
      </w:r>
      <w:r>
        <w:rPr>
          <w:rFonts w:ascii="Times New Roman" w:hAnsi="Times New Roman" w:cs="Times New Roman"/>
          <w:sz w:val="28"/>
          <w:szCs w:val="28"/>
        </w:rPr>
        <w:t>а</w:t>
      </w:r>
      <w:r w:rsidRPr="009755CD">
        <w:rPr>
          <w:rFonts w:ascii="Times New Roman" w:hAnsi="Times New Roman" w:cs="Times New Roman"/>
          <w:sz w:val="28"/>
          <w:szCs w:val="28"/>
        </w:rPr>
        <w:t xml:space="preserve"> вычитания (метод 4) или метод 6 на </w:t>
      </w:r>
      <w:r>
        <w:rPr>
          <w:rFonts w:ascii="Times New Roman" w:hAnsi="Times New Roman" w:cs="Times New Roman"/>
          <w:sz w:val="28"/>
          <w:szCs w:val="28"/>
        </w:rPr>
        <w:t xml:space="preserve">базе </w:t>
      </w:r>
      <w:r w:rsidRPr="009755CD">
        <w:rPr>
          <w:rFonts w:ascii="Times New Roman" w:hAnsi="Times New Roman" w:cs="Times New Roman"/>
          <w:sz w:val="28"/>
          <w:szCs w:val="28"/>
        </w:rPr>
        <w:t>метода 4;</w:t>
      </w:r>
    </w:p>
    <w:p w14:paraId="1E1FD5F7" w14:textId="77777777" w:rsidR="005D224E" w:rsidRPr="009755CD"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 форма для </w:t>
      </w:r>
      <w:r w:rsidRPr="009755CD">
        <w:rPr>
          <w:rFonts w:ascii="Times New Roman" w:hAnsi="Times New Roman" w:cs="Times New Roman"/>
          <w:sz w:val="28"/>
          <w:szCs w:val="28"/>
        </w:rPr>
        <w:t>метод</w:t>
      </w:r>
      <w:r>
        <w:rPr>
          <w:rFonts w:ascii="Times New Roman" w:hAnsi="Times New Roman" w:cs="Times New Roman"/>
          <w:sz w:val="28"/>
          <w:szCs w:val="28"/>
        </w:rPr>
        <w:t>а</w:t>
      </w:r>
      <w:r w:rsidRPr="009755CD">
        <w:rPr>
          <w:rFonts w:ascii="Times New Roman" w:hAnsi="Times New Roman" w:cs="Times New Roman"/>
          <w:sz w:val="28"/>
          <w:szCs w:val="28"/>
        </w:rPr>
        <w:t xml:space="preserve"> сложения (метод 5) или метод 6 на основе метода 5;</w:t>
      </w:r>
    </w:p>
    <w:p w14:paraId="46602BFD"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форма для метода 6 на базе</w:t>
      </w:r>
      <w:r w:rsidRPr="009755CD">
        <w:rPr>
          <w:rFonts w:ascii="Times New Roman" w:hAnsi="Times New Roman" w:cs="Times New Roman"/>
          <w:sz w:val="28"/>
          <w:szCs w:val="28"/>
        </w:rPr>
        <w:t xml:space="preserve"> метода 1.</w:t>
      </w:r>
    </w:p>
    <w:p w14:paraId="728458C8"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вывозимых товаров, в отношении которых установлены вывозные пошлины заполняются формы ДТС-3 и ДТС-4. Аналогично порядку заполнения форм ДТС при ввозе, при вывозе ДТС-3 заполняется для </w:t>
      </w:r>
      <w:r w:rsidRPr="00A15F69">
        <w:rPr>
          <w:rFonts w:ascii="Times New Roman" w:hAnsi="Times New Roman" w:cs="Times New Roman"/>
          <w:sz w:val="28"/>
          <w:szCs w:val="28"/>
        </w:rPr>
        <w:t>при определении таможенной стоимости вывозимых товаров по стоимости сделки с вывозимыми товарами </w:t>
      </w:r>
      <w:r>
        <w:rPr>
          <w:rFonts w:ascii="Times New Roman" w:hAnsi="Times New Roman" w:cs="Times New Roman"/>
          <w:sz w:val="28"/>
          <w:szCs w:val="28"/>
        </w:rPr>
        <w:t>или по</w:t>
      </w:r>
      <w:r w:rsidRPr="00A15F69">
        <w:rPr>
          <w:rFonts w:ascii="Times New Roman" w:hAnsi="Times New Roman" w:cs="Times New Roman"/>
          <w:sz w:val="28"/>
          <w:szCs w:val="28"/>
        </w:rPr>
        <w:t xml:space="preserve"> метод</w:t>
      </w:r>
      <w:r>
        <w:rPr>
          <w:rFonts w:ascii="Times New Roman" w:hAnsi="Times New Roman" w:cs="Times New Roman"/>
          <w:sz w:val="28"/>
          <w:szCs w:val="28"/>
        </w:rPr>
        <w:t>у 6</w:t>
      </w:r>
      <w:r w:rsidRPr="00A15F69">
        <w:rPr>
          <w:rFonts w:ascii="Times New Roman" w:hAnsi="Times New Roman" w:cs="Times New Roman"/>
          <w:sz w:val="28"/>
          <w:szCs w:val="28"/>
        </w:rPr>
        <w:t xml:space="preserve"> на ос</w:t>
      </w:r>
      <w:r>
        <w:rPr>
          <w:rFonts w:ascii="Times New Roman" w:hAnsi="Times New Roman" w:cs="Times New Roman"/>
          <w:sz w:val="28"/>
          <w:szCs w:val="28"/>
        </w:rPr>
        <w:t xml:space="preserve">нове гибкого применения метода 1, а ДТС-4 заполняется в иных случаях. </w:t>
      </w:r>
    </w:p>
    <w:p w14:paraId="5A4EE29F" w14:textId="77777777" w:rsidR="005D224E"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Необходимо подчеркнуть тот факт, что в настоящее время понятия «декларирование таможенной стоимости» не используется. В ТК ТС данное определение было закреплено, однако в ТК ЕАЭС в основу поставлено «декларирование товаров».</w:t>
      </w:r>
    </w:p>
    <w:p w14:paraId="1F58D23E" w14:textId="77777777" w:rsidR="005D224E" w:rsidRPr="00E03247"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Недостоверное декларирование таможенной стоимости влечет за собой ряд отрицательных последствий. Во-первых, это занижение стоимости товаров на внутреннем рынке в сопоставлении со стоимостью товара, с которой были уплачены платежи полностью и, как следствие, к увеличению конкурентоспособности товаров, которые были ввезены недобросовестным участников внешнеэкономической деятельности. Во-вторых, занижение сумм таможенных платежей, которые подлежат уплате. Как уже было отмечено, один из платежей – ввозная таможенная пошлина формирует доход федерального бюджета и ее занижение приводит к снижению доходной части.</w:t>
      </w:r>
    </w:p>
    <w:p w14:paraId="2D865E41" w14:textId="77777777" w:rsidR="005D224E" w:rsidRPr="00E03247"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 xml:space="preserve">Таким образом, было установлено, что определение таможенной стоимости происходит с использованием системы методов определения таможенной стоимости товаров. Понятие декларирование таможенной стоимости в настоящее время входит в понятие декларирование товаров. Исходя из этого информацию о таможенной стоимости можно найти в 45 графе ДТ. В ряде случаев таможенным законодательством предусмотрено заполнение декларации таможенной стоимости товаров. </w:t>
      </w:r>
      <w:r w:rsidRPr="0028744A">
        <w:rPr>
          <w:rFonts w:ascii="Times New Roman" w:hAnsi="Times New Roman" w:cs="Times New Roman"/>
          <w:sz w:val="28"/>
          <w:szCs w:val="28"/>
        </w:rPr>
        <w:t xml:space="preserve">Следует отметить, что при этом используются формы ДТС-1 и ДТС-2 (при ввозе товаров), ДТС-3 и ДТС-4 (при </w:t>
      </w:r>
      <w:r w:rsidRPr="0028744A">
        <w:rPr>
          <w:rFonts w:ascii="Times New Roman" w:hAnsi="Times New Roman" w:cs="Times New Roman"/>
          <w:sz w:val="28"/>
          <w:szCs w:val="28"/>
        </w:rPr>
        <w:lastRenderedPageBreak/>
        <w:t xml:space="preserve">вывозе товаров). </w:t>
      </w:r>
      <w:r w:rsidRPr="00E03247">
        <w:rPr>
          <w:rFonts w:ascii="Times New Roman" w:hAnsi="Times New Roman" w:cs="Times New Roman"/>
          <w:sz w:val="28"/>
          <w:szCs w:val="28"/>
        </w:rPr>
        <w:t>При недостоверном декларировании таможенной стоимости недобросовестным участником ВЭД возникают негативные последствия. Чтобы этого не допустить, таможенные органы опираясь на законодательство проводят контроль заявленной таможенной стоимости.</w:t>
      </w:r>
    </w:p>
    <w:p w14:paraId="16DAB344" w14:textId="77777777" w:rsidR="005D224E" w:rsidRPr="0028744A" w:rsidRDefault="005D224E" w:rsidP="005D224E">
      <w:pPr>
        <w:spacing w:after="0" w:line="360" w:lineRule="auto"/>
        <w:jc w:val="both"/>
        <w:rPr>
          <w:rFonts w:ascii="Times New Roman" w:hAnsi="Times New Roman" w:cs="Times New Roman"/>
          <w:sz w:val="28"/>
          <w:szCs w:val="28"/>
        </w:rPr>
      </w:pPr>
    </w:p>
    <w:p w14:paraId="5F1BEE66" w14:textId="77777777" w:rsidR="005D224E" w:rsidRDefault="005D224E" w:rsidP="005D224E">
      <w:pPr>
        <w:pStyle w:val="a3"/>
        <w:spacing w:before="0" w:line="240" w:lineRule="auto"/>
        <w:jc w:val="center"/>
        <w:rPr>
          <w:color w:val="auto"/>
        </w:rPr>
      </w:pPr>
      <w:bookmarkStart w:id="24" w:name="_Toc152675674"/>
      <w:r w:rsidRPr="0028744A">
        <w:rPr>
          <w:color w:val="auto"/>
        </w:rPr>
        <w:t>2.2. Порядок контроля таможенной стоимости</w:t>
      </w:r>
      <w:bookmarkEnd w:id="24"/>
      <w:r>
        <w:rPr>
          <w:color w:val="auto"/>
        </w:rPr>
        <w:t xml:space="preserve"> </w:t>
      </w:r>
    </w:p>
    <w:p w14:paraId="4D95AFD2" w14:textId="77777777" w:rsidR="005D224E" w:rsidRDefault="005D224E" w:rsidP="005D224E">
      <w:pPr>
        <w:pStyle w:val="a3"/>
        <w:spacing w:before="0" w:line="360" w:lineRule="auto"/>
        <w:jc w:val="center"/>
        <w:rPr>
          <w:color w:val="auto"/>
        </w:rPr>
      </w:pPr>
    </w:p>
    <w:p w14:paraId="0286F34B" w14:textId="77777777" w:rsidR="005D224E" w:rsidRPr="00E03247"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Процесс контроля таможенной стоимости является важным элементом регулирования внешнеэкономической деятельности. В ТК ЕЭАС действия таможенных органов, касающиеся проверки документов и сведений, связанных с таможенной стоимостью, входят в форму таможенного контроля «Проверка таможенных, иных документов и (или) сведений, начатая до выпуска товара». Исходя из положения Решения КЕЭК № 42 таможенная стоимость может быть принята до выпуска товаров или по результатам проверки документов и сведений. В первом случае необходимо установление достоверности определения таможенной стоимости.</w:t>
      </w:r>
    </w:p>
    <w:p w14:paraId="0E303C39" w14:textId="77777777" w:rsidR="005D224E" w:rsidRPr="00E03247"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 xml:space="preserve">Раньше таможенные органы в соответствии с законодательством могли принять одно из двух решений относительно таможенной стоимости. Это принять ее или вынести решение о необходимости ее корректировки. При невозможности принятия одного из этих решений и наличии признаков недостоверного декларирования проводилась дополнительная проверка. С вступлением в силу ТК ЕАЭС, процесс контроля таможенной стоимости изменился и такое понятие, как «корректировка таможенной стоимости» больше не используется. </w:t>
      </w:r>
    </w:p>
    <w:p w14:paraId="6B82FE1F" w14:textId="7E3CA5B7" w:rsidR="005D224E"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По положениям ТК ЕАЭС основа</w:t>
      </w:r>
      <w:r>
        <w:rPr>
          <w:rFonts w:ascii="Times New Roman" w:hAnsi="Times New Roman" w:cs="Times New Roman"/>
          <w:sz w:val="28"/>
          <w:szCs w:val="28"/>
        </w:rPr>
        <w:t xml:space="preserve"> контроля таможенной стоимости –</w:t>
      </w:r>
      <w:r w:rsidRPr="00E03247">
        <w:rPr>
          <w:rFonts w:ascii="Times New Roman" w:hAnsi="Times New Roman" w:cs="Times New Roman"/>
          <w:sz w:val="28"/>
          <w:szCs w:val="28"/>
        </w:rPr>
        <w:t xml:space="preserve"> система управления рисками. При отсутствии рисков товары выпускаются в автоматическом режиме. Если риск выявлен, то действия таможенного органа по контролю таможенной стоимости зависят от анализа документов, такие документы могут поэтапно предоставляться декларантом по запросам </w:t>
      </w:r>
      <w:r w:rsidRPr="00E03247">
        <w:rPr>
          <w:rFonts w:ascii="Times New Roman" w:hAnsi="Times New Roman" w:cs="Times New Roman"/>
          <w:sz w:val="28"/>
          <w:szCs w:val="28"/>
        </w:rPr>
        <w:lastRenderedPageBreak/>
        <w:t>таможенного органа. Условно данную процедуру принято делить на три этапа, исходя из трех заращиваемых таможенными органами комплектов документов. Первым делом таможенный орган запрашивает комплект документов, которые были указаны</w:t>
      </w:r>
      <w:r>
        <w:rPr>
          <w:rFonts w:ascii="Times New Roman" w:hAnsi="Times New Roman" w:cs="Times New Roman"/>
          <w:sz w:val="28"/>
          <w:szCs w:val="28"/>
        </w:rPr>
        <w:t xml:space="preserve"> в 44 графе ДТ</w:t>
      </w:r>
      <w:r w:rsidRPr="00E03247">
        <w:rPr>
          <w:rFonts w:ascii="Times New Roman" w:hAnsi="Times New Roman" w:cs="Times New Roman"/>
          <w:sz w:val="28"/>
          <w:szCs w:val="28"/>
        </w:rPr>
        <w:t>, однак</w:t>
      </w:r>
      <w:r>
        <w:rPr>
          <w:rFonts w:ascii="Times New Roman" w:hAnsi="Times New Roman" w:cs="Times New Roman"/>
          <w:sz w:val="28"/>
          <w:szCs w:val="28"/>
        </w:rPr>
        <w:t>о которые не были представлены</w:t>
      </w:r>
      <w:r w:rsidR="00561BA2">
        <w:rPr>
          <w:rFonts w:ascii="Times New Roman" w:hAnsi="Times New Roman" w:cs="Times New Roman"/>
          <w:sz w:val="28"/>
          <w:szCs w:val="28"/>
        </w:rPr>
        <w:t>.</w:t>
      </w:r>
    </w:p>
    <w:p w14:paraId="1B5BCA93" w14:textId="1517461C" w:rsidR="005D224E" w:rsidRPr="00DB537F" w:rsidRDefault="005D224E" w:rsidP="005D224E">
      <w:pPr>
        <w:spacing w:after="0" w:line="360" w:lineRule="auto"/>
        <w:jc w:val="center"/>
        <w:rPr>
          <w:rFonts w:ascii="Times New Roman" w:hAnsi="Times New Roman" w:cs="Times New Roman"/>
          <w:sz w:val="28"/>
          <w:szCs w:val="28"/>
        </w:rPr>
      </w:pPr>
      <w:r>
        <w:rPr>
          <w:rFonts w:ascii="Times New Roman" w:hAnsi="Times New Roman" w:cs="Times New Roman"/>
          <w:noProof/>
          <w:sz w:val="28"/>
          <w:szCs w:val="28"/>
          <w:lang w:eastAsia="ru-RU"/>
        </w:rPr>
        <w:drawing>
          <wp:anchor distT="0" distB="0" distL="114300" distR="114300" simplePos="0" relativeHeight="251660288" behindDoc="0" locked="0" layoutInCell="1" allowOverlap="1" wp14:anchorId="5BA091E2" wp14:editId="3A0979C5">
            <wp:simplePos x="0" y="0"/>
            <wp:positionH relativeFrom="column">
              <wp:posOffset>177165</wp:posOffset>
            </wp:positionH>
            <wp:positionV relativeFrom="paragraph">
              <wp:posOffset>3810</wp:posOffset>
            </wp:positionV>
            <wp:extent cx="5134692" cy="4648849"/>
            <wp:effectExtent l="0" t="0" r="8890" b="0"/>
            <wp:wrapTopAndBottom/>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Снимок.PNG"/>
                    <pic:cNvPicPr/>
                  </pic:nvPicPr>
                  <pic:blipFill>
                    <a:blip r:embed="rId39">
                      <a:extLst>
                        <a:ext uri="{28A0092B-C50C-407E-A947-70E740481C1C}">
                          <a14:useLocalDpi xmlns:a14="http://schemas.microsoft.com/office/drawing/2010/main" val="0"/>
                        </a:ext>
                      </a:extLst>
                    </a:blip>
                    <a:stretch>
                      <a:fillRect/>
                    </a:stretch>
                  </pic:blipFill>
                  <pic:spPr>
                    <a:xfrm>
                      <a:off x="0" y="0"/>
                      <a:ext cx="5134692" cy="4648849"/>
                    </a:xfrm>
                    <a:prstGeom prst="rect">
                      <a:avLst/>
                    </a:prstGeom>
                  </pic:spPr>
                </pic:pic>
              </a:graphicData>
            </a:graphic>
          </wp:anchor>
        </w:drawing>
      </w:r>
      <w:r>
        <w:rPr>
          <w:rFonts w:ascii="Times New Roman" w:hAnsi="Times New Roman" w:cs="Times New Roman"/>
          <w:sz w:val="28"/>
          <w:szCs w:val="28"/>
        </w:rPr>
        <w:t xml:space="preserve">Рис. </w:t>
      </w:r>
      <w:r w:rsidR="00661E7C">
        <w:rPr>
          <w:rFonts w:ascii="Times New Roman" w:hAnsi="Times New Roman" w:cs="Times New Roman"/>
          <w:sz w:val="28"/>
          <w:szCs w:val="28"/>
        </w:rPr>
        <w:t>11</w:t>
      </w:r>
      <w:r>
        <w:rPr>
          <w:rFonts w:ascii="Times New Roman" w:hAnsi="Times New Roman" w:cs="Times New Roman"/>
          <w:sz w:val="28"/>
          <w:szCs w:val="28"/>
        </w:rPr>
        <w:t>. Первый этап проведения контроля таможенной стоимости</w:t>
      </w:r>
    </w:p>
    <w:p w14:paraId="2B771EAE" w14:textId="77777777" w:rsidR="005D224E" w:rsidRDefault="005D224E" w:rsidP="005D224E">
      <w:pPr>
        <w:spacing w:after="0" w:line="360" w:lineRule="auto"/>
        <w:jc w:val="both"/>
        <w:rPr>
          <w:rFonts w:ascii="Times New Roman" w:hAnsi="Times New Roman" w:cs="Times New Roman"/>
          <w:sz w:val="28"/>
          <w:szCs w:val="28"/>
        </w:rPr>
      </w:pPr>
    </w:p>
    <w:p w14:paraId="13E0B24F" w14:textId="77AE66D2" w:rsidR="005D224E" w:rsidRDefault="005D224E" w:rsidP="005D224E">
      <w:pPr>
        <w:spacing w:after="0" w:line="360" w:lineRule="auto"/>
        <w:ind w:firstLine="709"/>
        <w:jc w:val="both"/>
        <w:rPr>
          <w:rFonts w:ascii="Times New Roman" w:hAnsi="Times New Roman" w:cs="Times New Roman"/>
          <w:sz w:val="28"/>
          <w:szCs w:val="28"/>
          <w:shd w:val="clear" w:color="auto" w:fill="FFFFFF"/>
        </w:rPr>
      </w:pPr>
      <w:r w:rsidRPr="0030509B">
        <w:rPr>
          <w:rFonts w:ascii="Times New Roman" w:hAnsi="Times New Roman" w:cs="Times New Roman"/>
          <w:sz w:val="28"/>
          <w:szCs w:val="28"/>
          <w:shd w:val="clear" w:color="auto" w:fill="FFFFFF"/>
        </w:rPr>
        <w:t xml:space="preserve">Если при предоставлении документов были выявлены признаки недостоверности таможенной стоимости или представленные документы не подтверждают заявленную таможенную стоимость, то происходит запрос второго пакета документов. В данном случае выпуск может быть произведен при условии, что будет внесено обеспечение исполнения обязанности по уплате таможенных пошлин, налогов. </w:t>
      </w:r>
      <w:r>
        <w:rPr>
          <w:rFonts w:ascii="Times New Roman" w:hAnsi="Times New Roman" w:cs="Times New Roman"/>
          <w:sz w:val="28"/>
          <w:szCs w:val="28"/>
          <w:shd w:val="clear" w:color="auto" w:fill="FFFFFF"/>
        </w:rPr>
        <w:t>В выпуске будет отказано, если дополнительные документы не будут предоставлены, а также обеспечение не будет внесено в сроки выпуска.</w:t>
      </w:r>
    </w:p>
    <w:p w14:paraId="2E2543E9" w14:textId="77777777" w:rsidR="005D224E" w:rsidRPr="00F8362A" w:rsidRDefault="005D224E" w:rsidP="005D224E">
      <w:pPr>
        <w:spacing w:after="0" w:line="360" w:lineRule="auto"/>
        <w:ind w:firstLine="709"/>
        <w:jc w:val="both"/>
        <w:rPr>
          <w:rFonts w:ascii="Times New Roman" w:hAnsi="Times New Roman" w:cs="Times New Roman"/>
          <w:sz w:val="28"/>
          <w:szCs w:val="28"/>
          <w:shd w:val="clear" w:color="auto" w:fill="FFFFFF"/>
        </w:rPr>
      </w:pPr>
      <w:r w:rsidRPr="00F8362A">
        <w:rPr>
          <w:rFonts w:ascii="Georgia" w:hAnsi="Georgia"/>
          <w:noProof/>
          <w:sz w:val="27"/>
          <w:szCs w:val="27"/>
          <w:shd w:val="clear" w:color="auto" w:fill="FFFFFF"/>
          <w:lang w:eastAsia="ru-RU"/>
        </w:rPr>
        <w:lastRenderedPageBreak/>
        <w:drawing>
          <wp:anchor distT="0" distB="0" distL="114300" distR="114300" simplePos="0" relativeHeight="251659264" behindDoc="1" locked="0" layoutInCell="1" allowOverlap="1" wp14:anchorId="18915F46" wp14:editId="1C00B8B4">
            <wp:simplePos x="0" y="0"/>
            <wp:positionH relativeFrom="margin">
              <wp:posOffset>1071245</wp:posOffset>
            </wp:positionH>
            <wp:positionV relativeFrom="paragraph">
              <wp:posOffset>2382520</wp:posOffset>
            </wp:positionV>
            <wp:extent cx="4050030" cy="4200525"/>
            <wp:effectExtent l="0" t="0" r="7620" b="9525"/>
            <wp:wrapTopAndBottom/>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Снимок2.PNG"/>
                    <pic:cNvPicPr/>
                  </pic:nvPicPr>
                  <pic:blipFill>
                    <a:blip r:embed="rId40">
                      <a:extLst>
                        <a:ext uri="{28A0092B-C50C-407E-A947-70E740481C1C}">
                          <a14:useLocalDpi xmlns:a14="http://schemas.microsoft.com/office/drawing/2010/main" val="0"/>
                        </a:ext>
                      </a:extLst>
                    </a:blip>
                    <a:stretch>
                      <a:fillRect/>
                    </a:stretch>
                  </pic:blipFill>
                  <pic:spPr>
                    <a:xfrm>
                      <a:off x="0" y="0"/>
                      <a:ext cx="4050030" cy="4200525"/>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shd w:val="clear" w:color="auto" w:fill="FFFFFF"/>
        </w:rPr>
        <w:t xml:space="preserve">Запрос третьего комплекта документов производится при условии, что представленные на втором этапе документы не устраняют оснований для проведения проверки таможенных и иных документов. Для предоставления данных документов у декларанта есть 10 календарных дней с даты запроса таких документов. Срок проведения проверки приостанавливается на 30 календарных дней со дня регистрации запроса на время запроса указанных ранее документов. Проверка возобновляется со дня получения </w:t>
      </w:r>
      <w:r w:rsidRPr="00F8362A">
        <w:rPr>
          <w:rFonts w:ascii="Times New Roman" w:hAnsi="Times New Roman" w:cs="Times New Roman"/>
          <w:sz w:val="28"/>
          <w:szCs w:val="28"/>
          <w:shd w:val="clear" w:color="auto" w:fill="FFFFFF"/>
        </w:rPr>
        <w:t>таможенным органом дополнительных документов</w:t>
      </w:r>
      <w:r>
        <w:rPr>
          <w:rFonts w:ascii="Times New Roman" w:hAnsi="Times New Roman" w:cs="Times New Roman"/>
          <w:sz w:val="28"/>
          <w:szCs w:val="28"/>
          <w:shd w:val="clear" w:color="auto" w:fill="FFFFFF"/>
        </w:rPr>
        <w:t>.</w:t>
      </w:r>
    </w:p>
    <w:p w14:paraId="66AB18DC" w14:textId="136146F6" w:rsidR="005D224E" w:rsidRDefault="005D224E" w:rsidP="005D224E">
      <w:pPr>
        <w:spacing w:after="0" w:line="360" w:lineRule="auto"/>
        <w:jc w:val="center"/>
        <w:rPr>
          <w:rFonts w:ascii="Times New Roman" w:hAnsi="Times New Roman" w:cs="Times New Roman"/>
          <w:sz w:val="28"/>
          <w:szCs w:val="28"/>
        </w:rPr>
      </w:pPr>
      <w:r>
        <w:rPr>
          <w:rFonts w:ascii="Times New Roman" w:hAnsi="Times New Roman" w:cs="Times New Roman"/>
          <w:sz w:val="28"/>
          <w:szCs w:val="28"/>
        </w:rPr>
        <w:t xml:space="preserve">Рис. </w:t>
      </w:r>
      <w:r w:rsidR="00661E7C">
        <w:rPr>
          <w:rFonts w:ascii="Times New Roman" w:hAnsi="Times New Roman" w:cs="Times New Roman"/>
          <w:sz w:val="28"/>
          <w:szCs w:val="28"/>
        </w:rPr>
        <w:t>12</w:t>
      </w:r>
      <w:r>
        <w:rPr>
          <w:rFonts w:ascii="Times New Roman" w:hAnsi="Times New Roman" w:cs="Times New Roman"/>
          <w:sz w:val="28"/>
          <w:szCs w:val="28"/>
        </w:rPr>
        <w:t>. Второй этап проведения контроля таможенной стоимости</w:t>
      </w:r>
    </w:p>
    <w:p w14:paraId="4CE59A3F" w14:textId="6F082118" w:rsidR="005D224E" w:rsidRDefault="005D224E" w:rsidP="005D224E">
      <w:pPr>
        <w:spacing w:after="0" w:line="360" w:lineRule="auto"/>
        <w:jc w:val="center"/>
        <w:rPr>
          <w:rFonts w:ascii="Times New Roman" w:hAnsi="Times New Roman" w:cs="Times New Roman"/>
          <w:noProof/>
          <w:sz w:val="28"/>
          <w:szCs w:val="28"/>
          <w:lang w:eastAsia="ru-RU"/>
        </w:rPr>
      </w:pPr>
      <w:r>
        <w:rPr>
          <w:rFonts w:ascii="Times New Roman" w:hAnsi="Times New Roman" w:cs="Times New Roman"/>
          <w:noProof/>
          <w:sz w:val="28"/>
          <w:szCs w:val="28"/>
          <w:lang w:eastAsia="ru-RU"/>
        </w:rPr>
        <w:lastRenderedPageBreak/>
        <w:drawing>
          <wp:anchor distT="0" distB="0" distL="114300" distR="114300" simplePos="0" relativeHeight="251661312" behindDoc="0" locked="0" layoutInCell="1" allowOverlap="1" wp14:anchorId="62BA94AD" wp14:editId="2AE68F09">
            <wp:simplePos x="0" y="0"/>
            <wp:positionH relativeFrom="page">
              <wp:posOffset>1856105</wp:posOffset>
            </wp:positionH>
            <wp:positionV relativeFrom="paragraph">
              <wp:posOffset>0</wp:posOffset>
            </wp:positionV>
            <wp:extent cx="4295775" cy="3901440"/>
            <wp:effectExtent l="0" t="0" r="9525" b="3810"/>
            <wp:wrapTopAndBottom/>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Снимок3.PNG"/>
                    <pic:cNvPicPr/>
                  </pic:nvPicPr>
                  <pic:blipFill>
                    <a:blip r:embed="rId41">
                      <a:extLst>
                        <a:ext uri="{28A0092B-C50C-407E-A947-70E740481C1C}">
                          <a14:useLocalDpi xmlns:a14="http://schemas.microsoft.com/office/drawing/2010/main" val="0"/>
                        </a:ext>
                      </a:extLst>
                    </a:blip>
                    <a:stretch>
                      <a:fillRect/>
                    </a:stretch>
                  </pic:blipFill>
                  <pic:spPr>
                    <a:xfrm>
                      <a:off x="0" y="0"/>
                      <a:ext cx="4295775" cy="3901440"/>
                    </a:xfrm>
                    <a:prstGeom prst="rect">
                      <a:avLst/>
                    </a:prstGeom>
                  </pic:spPr>
                </pic:pic>
              </a:graphicData>
            </a:graphic>
            <wp14:sizeRelH relativeFrom="margin">
              <wp14:pctWidth>0</wp14:pctWidth>
            </wp14:sizeRelH>
            <wp14:sizeRelV relativeFrom="margin">
              <wp14:pctHeight>0</wp14:pctHeight>
            </wp14:sizeRelV>
          </wp:anchor>
        </w:drawing>
      </w:r>
      <w:r>
        <w:rPr>
          <w:rFonts w:ascii="Times New Roman" w:hAnsi="Times New Roman" w:cs="Times New Roman"/>
          <w:sz w:val="28"/>
          <w:szCs w:val="28"/>
        </w:rPr>
        <w:t xml:space="preserve">Рис. </w:t>
      </w:r>
      <w:r w:rsidR="00661E7C">
        <w:rPr>
          <w:rFonts w:ascii="Times New Roman" w:hAnsi="Times New Roman" w:cs="Times New Roman"/>
          <w:sz w:val="28"/>
          <w:szCs w:val="28"/>
        </w:rPr>
        <w:t>13</w:t>
      </w:r>
      <w:r>
        <w:rPr>
          <w:rFonts w:ascii="Times New Roman" w:hAnsi="Times New Roman" w:cs="Times New Roman"/>
          <w:sz w:val="28"/>
          <w:szCs w:val="28"/>
        </w:rPr>
        <w:t>. Третий этап проведения контроля таможенной стоимости</w:t>
      </w:r>
    </w:p>
    <w:p w14:paraId="1F5B3310" w14:textId="77777777" w:rsidR="005D224E" w:rsidRDefault="005D224E" w:rsidP="005D224E">
      <w:pPr>
        <w:spacing w:after="0" w:line="360" w:lineRule="auto"/>
        <w:ind w:firstLine="709"/>
        <w:jc w:val="both"/>
        <w:rPr>
          <w:rFonts w:ascii="Times New Roman" w:hAnsi="Times New Roman" w:cs="Times New Roman"/>
          <w:sz w:val="28"/>
          <w:szCs w:val="28"/>
        </w:rPr>
      </w:pPr>
    </w:p>
    <w:p w14:paraId="08C2ADEE" w14:textId="2DA7FAA7" w:rsidR="005D224E" w:rsidRPr="00E03247"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В случае, когда результаты таможенного контроля не подтверждают соблюдение законодательства государств-членов Союза, не устраняют основания для проведения формы таможенного контроля принимается решение о внесении изменений в сведения, которые были заявлены декларации на товары</w:t>
      </w:r>
      <w:r w:rsidR="00E03A1F">
        <w:rPr>
          <w:rStyle w:val="ad"/>
          <w:rFonts w:ascii="Times New Roman" w:hAnsi="Times New Roman" w:cs="Times New Roman"/>
          <w:sz w:val="28"/>
          <w:szCs w:val="28"/>
        </w:rPr>
        <w:footnoteReference w:id="13"/>
      </w:r>
      <w:r w:rsidRPr="00E03247">
        <w:rPr>
          <w:rFonts w:ascii="Times New Roman" w:hAnsi="Times New Roman" w:cs="Times New Roman"/>
          <w:sz w:val="28"/>
          <w:szCs w:val="28"/>
        </w:rPr>
        <w:t xml:space="preserve">. </w:t>
      </w:r>
    </w:p>
    <w:p w14:paraId="2F973105" w14:textId="7BD5B87A" w:rsidR="005D224E" w:rsidRPr="00704F94" w:rsidRDefault="005D224E" w:rsidP="005D224E">
      <w:pPr>
        <w:spacing w:after="0" w:line="360" w:lineRule="auto"/>
        <w:ind w:firstLine="709"/>
        <w:jc w:val="right"/>
        <w:rPr>
          <w:rFonts w:ascii="Times New Roman" w:hAnsi="Times New Roman" w:cs="Times New Roman"/>
          <w:sz w:val="28"/>
          <w:szCs w:val="28"/>
        </w:rPr>
      </w:pPr>
      <w:r w:rsidRPr="00704F94">
        <w:rPr>
          <w:rFonts w:ascii="Times New Roman" w:hAnsi="Times New Roman" w:cs="Times New Roman"/>
          <w:sz w:val="28"/>
          <w:szCs w:val="28"/>
        </w:rPr>
        <w:t xml:space="preserve">Таблица </w:t>
      </w:r>
      <w:r w:rsidR="007560C7">
        <w:rPr>
          <w:rFonts w:ascii="Times New Roman" w:hAnsi="Times New Roman" w:cs="Times New Roman"/>
          <w:sz w:val="28"/>
          <w:szCs w:val="28"/>
        </w:rPr>
        <w:t>5</w:t>
      </w:r>
      <w:r>
        <w:rPr>
          <w:rFonts w:ascii="Times New Roman" w:hAnsi="Times New Roman" w:cs="Times New Roman"/>
          <w:sz w:val="28"/>
          <w:szCs w:val="28"/>
        </w:rPr>
        <w:t>.</w:t>
      </w:r>
    </w:p>
    <w:p w14:paraId="56405113" w14:textId="6D35725B" w:rsidR="005D224E" w:rsidRDefault="005D224E" w:rsidP="005D224E">
      <w:pPr>
        <w:spacing w:after="0" w:line="240" w:lineRule="auto"/>
        <w:ind w:firstLine="709"/>
        <w:jc w:val="center"/>
        <w:rPr>
          <w:rFonts w:ascii="Times New Roman" w:hAnsi="Times New Roman" w:cs="Times New Roman"/>
          <w:sz w:val="28"/>
          <w:szCs w:val="28"/>
        </w:rPr>
      </w:pPr>
      <w:r w:rsidRPr="00704F94">
        <w:rPr>
          <w:rFonts w:ascii="Times New Roman" w:hAnsi="Times New Roman" w:cs="Times New Roman"/>
          <w:sz w:val="28"/>
          <w:szCs w:val="28"/>
        </w:rPr>
        <w:t>Статистика внесения изменений сведений о таможенной стоимости Шереметьевской таможни за 202</w:t>
      </w:r>
      <w:r w:rsidR="00E03A1F">
        <w:rPr>
          <w:rFonts w:ascii="Times New Roman" w:hAnsi="Times New Roman" w:cs="Times New Roman"/>
          <w:sz w:val="28"/>
          <w:szCs w:val="28"/>
        </w:rPr>
        <w:t>2</w:t>
      </w:r>
      <w:r w:rsidRPr="00704F94">
        <w:rPr>
          <w:rFonts w:ascii="Times New Roman" w:hAnsi="Times New Roman" w:cs="Times New Roman"/>
          <w:sz w:val="28"/>
          <w:szCs w:val="28"/>
        </w:rPr>
        <w:t xml:space="preserve"> год</w:t>
      </w:r>
      <w:r>
        <w:rPr>
          <w:rStyle w:val="ad"/>
          <w:rFonts w:ascii="Times New Roman" w:hAnsi="Times New Roman" w:cs="Times New Roman"/>
          <w:sz w:val="28"/>
          <w:szCs w:val="28"/>
        </w:rPr>
        <w:footnoteReference w:id="14"/>
      </w:r>
    </w:p>
    <w:p w14:paraId="7C7331F2" w14:textId="77777777" w:rsidR="005D224E" w:rsidRPr="00704F94" w:rsidRDefault="005D224E" w:rsidP="005D224E">
      <w:pPr>
        <w:spacing w:after="0" w:line="240" w:lineRule="auto"/>
        <w:ind w:firstLine="709"/>
        <w:jc w:val="center"/>
        <w:rPr>
          <w:rFonts w:ascii="Times New Roman" w:hAnsi="Times New Roman" w:cs="Times New Roman"/>
          <w:sz w:val="28"/>
          <w:szCs w:val="28"/>
        </w:rPr>
      </w:pPr>
    </w:p>
    <w:tbl>
      <w:tblPr>
        <w:tblStyle w:val="a8"/>
        <w:tblW w:w="0" w:type="auto"/>
        <w:tblLook w:val="04A0" w:firstRow="1" w:lastRow="0" w:firstColumn="1" w:lastColumn="0" w:noHBand="0" w:noVBand="1"/>
      </w:tblPr>
      <w:tblGrid>
        <w:gridCol w:w="6232"/>
        <w:gridCol w:w="842"/>
        <w:gridCol w:w="842"/>
        <w:gridCol w:w="1711"/>
      </w:tblGrid>
      <w:tr w:rsidR="005D224E" w:rsidRPr="00704F94" w14:paraId="2CC1B25F" w14:textId="77777777" w:rsidTr="008B1391">
        <w:tc>
          <w:tcPr>
            <w:tcW w:w="0" w:type="auto"/>
          </w:tcPr>
          <w:p w14:paraId="6A500E44" w14:textId="77777777" w:rsidR="005D224E" w:rsidRPr="00BE23F9" w:rsidRDefault="005D224E" w:rsidP="008B1391">
            <w:pPr>
              <w:jc w:val="center"/>
              <w:rPr>
                <w:rFonts w:ascii="Times New Roman" w:eastAsia="Times New Roman" w:hAnsi="Times New Roman" w:cs="Times New Roman"/>
                <w:sz w:val="24"/>
                <w:szCs w:val="24"/>
                <w:lang w:eastAsia="ru-RU"/>
              </w:rPr>
            </w:pPr>
            <w:r w:rsidRPr="00BE23F9">
              <w:rPr>
                <w:rFonts w:ascii="Times New Roman" w:eastAsia="Times New Roman" w:hAnsi="Times New Roman" w:cs="Times New Roman"/>
                <w:sz w:val="24"/>
                <w:szCs w:val="24"/>
                <w:lang w:eastAsia="ru-RU"/>
              </w:rPr>
              <w:t>Показатели</w:t>
            </w:r>
          </w:p>
        </w:tc>
        <w:tc>
          <w:tcPr>
            <w:tcW w:w="0" w:type="auto"/>
          </w:tcPr>
          <w:p w14:paraId="1C404290" w14:textId="2A13B54B" w:rsidR="005D224E" w:rsidRPr="00BE23F9" w:rsidRDefault="005D224E" w:rsidP="008B1391">
            <w:pPr>
              <w:pStyle w:val="aa"/>
              <w:spacing w:after="0"/>
              <w:jc w:val="center"/>
            </w:pPr>
            <w:r w:rsidRPr="00BE23F9">
              <w:rPr>
                <w:bCs/>
              </w:rPr>
              <w:t>202</w:t>
            </w:r>
            <w:r w:rsidR="00E03A1F" w:rsidRPr="00BE23F9">
              <w:rPr>
                <w:bCs/>
              </w:rPr>
              <w:t>1</w:t>
            </w:r>
            <w:r w:rsidRPr="00BE23F9">
              <w:rPr>
                <w:bCs/>
              </w:rPr>
              <w:t xml:space="preserve"> г.</w:t>
            </w:r>
          </w:p>
        </w:tc>
        <w:tc>
          <w:tcPr>
            <w:tcW w:w="0" w:type="auto"/>
          </w:tcPr>
          <w:p w14:paraId="68464B74" w14:textId="2438597D" w:rsidR="005D224E" w:rsidRPr="00BE23F9" w:rsidRDefault="005D224E" w:rsidP="008B1391">
            <w:pPr>
              <w:pStyle w:val="aa"/>
              <w:spacing w:after="0"/>
              <w:jc w:val="center"/>
            </w:pPr>
            <w:r w:rsidRPr="00BE23F9">
              <w:rPr>
                <w:bCs/>
              </w:rPr>
              <w:t>202</w:t>
            </w:r>
            <w:r w:rsidR="00E03A1F" w:rsidRPr="00BE23F9">
              <w:rPr>
                <w:bCs/>
              </w:rPr>
              <w:t>2</w:t>
            </w:r>
            <w:r w:rsidRPr="00BE23F9">
              <w:rPr>
                <w:bCs/>
              </w:rPr>
              <w:t xml:space="preserve"> г.</w:t>
            </w:r>
          </w:p>
        </w:tc>
        <w:tc>
          <w:tcPr>
            <w:tcW w:w="0" w:type="auto"/>
          </w:tcPr>
          <w:p w14:paraId="6BC9835F" w14:textId="3BE7C44A" w:rsidR="005D224E" w:rsidRPr="00BE23F9" w:rsidRDefault="005D224E" w:rsidP="008B1391">
            <w:pPr>
              <w:pStyle w:val="aa"/>
              <w:spacing w:after="0"/>
              <w:jc w:val="center"/>
            </w:pPr>
            <w:r w:rsidRPr="00BE23F9">
              <w:rPr>
                <w:bCs/>
              </w:rPr>
              <w:t>202</w:t>
            </w:r>
            <w:r w:rsidR="00E03A1F" w:rsidRPr="00BE23F9">
              <w:rPr>
                <w:bCs/>
              </w:rPr>
              <w:t>1</w:t>
            </w:r>
            <w:r w:rsidRPr="00BE23F9">
              <w:rPr>
                <w:bCs/>
              </w:rPr>
              <w:t xml:space="preserve"> г. к 202</w:t>
            </w:r>
            <w:r w:rsidR="00E03A1F" w:rsidRPr="00BE23F9">
              <w:rPr>
                <w:bCs/>
              </w:rPr>
              <w:t>2</w:t>
            </w:r>
            <w:r w:rsidRPr="00BE23F9">
              <w:rPr>
                <w:bCs/>
              </w:rPr>
              <w:t>г., %</w:t>
            </w:r>
          </w:p>
        </w:tc>
      </w:tr>
      <w:tr w:rsidR="005D224E" w:rsidRPr="00704F94" w14:paraId="352B9AAB" w14:textId="77777777" w:rsidTr="008B1391">
        <w:tc>
          <w:tcPr>
            <w:tcW w:w="0" w:type="auto"/>
            <w:hideMark/>
          </w:tcPr>
          <w:p w14:paraId="1DE4BEDB" w14:textId="77777777" w:rsidR="005D224E" w:rsidRPr="00BE23F9" w:rsidRDefault="005D224E" w:rsidP="008B1391">
            <w:pPr>
              <w:jc w:val="center"/>
              <w:rPr>
                <w:rFonts w:ascii="Times New Roman" w:eastAsia="Times New Roman" w:hAnsi="Times New Roman" w:cs="Times New Roman"/>
                <w:sz w:val="24"/>
                <w:szCs w:val="24"/>
                <w:lang w:eastAsia="ru-RU"/>
              </w:rPr>
            </w:pPr>
            <w:r w:rsidRPr="00BE23F9">
              <w:rPr>
                <w:rFonts w:ascii="Times New Roman" w:eastAsia="Times New Roman" w:hAnsi="Times New Roman" w:cs="Times New Roman"/>
                <w:sz w:val="24"/>
                <w:szCs w:val="24"/>
                <w:lang w:eastAsia="ru-RU"/>
              </w:rPr>
              <w:t>Количество решений о внесении изменений в сведения о таможенной стоимости</w:t>
            </w:r>
          </w:p>
        </w:tc>
        <w:tc>
          <w:tcPr>
            <w:tcW w:w="0" w:type="auto"/>
            <w:hideMark/>
          </w:tcPr>
          <w:p w14:paraId="6B7A90F4" w14:textId="77777777" w:rsidR="005D224E" w:rsidRPr="00BE23F9" w:rsidRDefault="005D224E" w:rsidP="008B1391">
            <w:pPr>
              <w:jc w:val="center"/>
              <w:rPr>
                <w:rFonts w:ascii="Times New Roman" w:eastAsia="Times New Roman" w:hAnsi="Times New Roman" w:cs="Times New Roman"/>
                <w:sz w:val="24"/>
                <w:szCs w:val="24"/>
                <w:lang w:eastAsia="ru-RU"/>
              </w:rPr>
            </w:pPr>
            <w:r w:rsidRPr="00BE23F9">
              <w:rPr>
                <w:rFonts w:ascii="Times New Roman" w:eastAsia="Times New Roman" w:hAnsi="Times New Roman" w:cs="Times New Roman"/>
                <w:sz w:val="24"/>
                <w:szCs w:val="24"/>
                <w:lang w:eastAsia="ru-RU"/>
              </w:rPr>
              <w:t>3684</w:t>
            </w:r>
          </w:p>
        </w:tc>
        <w:tc>
          <w:tcPr>
            <w:tcW w:w="0" w:type="auto"/>
            <w:hideMark/>
          </w:tcPr>
          <w:p w14:paraId="5817BFB9" w14:textId="77777777" w:rsidR="005D224E" w:rsidRPr="00BE23F9" w:rsidRDefault="005D224E" w:rsidP="008B1391">
            <w:pPr>
              <w:jc w:val="center"/>
              <w:rPr>
                <w:rFonts w:ascii="Times New Roman" w:eastAsia="Times New Roman" w:hAnsi="Times New Roman" w:cs="Times New Roman"/>
                <w:sz w:val="24"/>
                <w:szCs w:val="24"/>
                <w:lang w:eastAsia="ru-RU"/>
              </w:rPr>
            </w:pPr>
            <w:r w:rsidRPr="00BE23F9">
              <w:rPr>
                <w:rFonts w:ascii="Times New Roman" w:eastAsia="Times New Roman" w:hAnsi="Times New Roman" w:cs="Times New Roman"/>
                <w:sz w:val="24"/>
                <w:szCs w:val="24"/>
                <w:lang w:eastAsia="ru-RU"/>
              </w:rPr>
              <w:t>6891</w:t>
            </w:r>
          </w:p>
        </w:tc>
        <w:tc>
          <w:tcPr>
            <w:tcW w:w="0" w:type="auto"/>
            <w:hideMark/>
          </w:tcPr>
          <w:p w14:paraId="22230961" w14:textId="77777777" w:rsidR="005D224E" w:rsidRPr="00BE23F9" w:rsidRDefault="005D224E" w:rsidP="008B1391">
            <w:pPr>
              <w:jc w:val="center"/>
              <w:rPr>
                <w:rFonts w:ascii="Times New Roman" w:eastAsia="Times New Roman" w:hAnsi="Times New Roman" w:cs="Times New Roman"/>
                <w:sz w:val="24"/>
                <w:szCs w:val="24"/>
                <w:lang w:eastAsia="ru-RU"/>
              </w:rPr>
            </w:pPr>
            <w:r w:rsidRPr="00BE23F9">
              <w:rPr>
                <w:rFonts w:ascii="Times New Roman" w:eastAsia="Times New Roman" w:hAnsi="Times New Roman" w:cs="Times New Roman"/>
                <w:sz w:val="24"/>
                <w:szCs w:val="24"/>
                <w:lang w:eastAsia="ru-RU"/>
              </w:rPr>
              <w:t>187%</w:t>
            </w:r>
          </w:p>
        </w:tc>
      </w:tr>
      <w:tr w:rsidR="005D224E" w:rsidRPr="00704F94" w14:paraId="584F5723" w14:textId="77777777" w:rsidTr="008B1391">
        <w:tc>
          <w:tcPr>
            <w:tcW w:w="0" w:type="auto"/>
            <w:hideMark/>
          </w:tcPr>
          <w:p w14:paraId="64D95016" w14:textId="77777777" w:rsidR="005D224E" w:rsidRPr="00BE23F9" w:rsidRDefault="005D224E" w:rsidP="008B1391">
            <w:pPr>
              <w:jc w:val="center"/>
              <w:rPr>
                <w:rFonts w:ascii="Times New Roman" w:eastAsia="Times New Roman" w:hAnsi="Times New Roman" w:cs="Times New Roman"/>
                <w:sz w:val="24"/>
                <w:szCs w:val="24"/>
                <w:lang w:eastAsia="ru-RU"/>
              </w:rPr>
            </w:pPr>
            <w:r w:rsidRPr="00BE23F9">
              <w:rPr>
                <w:rFonts w:ascii="Times New Roman" w:eastAsia="Times New Roman" w:hAnsi="Times New Roman" w:cs="Times New Roman"/>
                <w:sz w:val="24"/>
                <w:szCs w:val="24"/>
                <w:lang w:eastAsia="ru-RU"/>
              </w:rPr>
              <w:t>Доначисление таможенных платежей, млн. руб.</w:t>
            </w:r>
          </w:p>
        </w:tc>
        <w:tc>
          <w:tcPr>
            <w:tcW w:w="0" w:type="auto"/>
            <w:hideMark/>
          </w:tcPr>
          <w:p w14:paraId="7FE23E25" w14:textId="77777777" w:rsidR="005D224E" w:rsidRPr="00BE23F9" w:rsidRDefault="005D224E" w:rsidP="008B1391">
            <w:pPr>
              <w:jc w:val="center"/>
              <w:rPr>
                <w:rFonts w:ascii="Times New Roman" w:eastAsia="Times New Roman" w:hAnsi="Times New Roman" w:cs="Times New Roman"/>
                <w:sz w:val="24"/>
                <w:szCs w:val="24"/>
                <w:lang w:eastAsia="ru-RU"/>
              </w:rPr>
            </w:pPr>
            <w:r w:rsidRPr="00BE23F9">
              <w:rPr>
                <w:rFonts w:ascii="Times New Roman" w:eastAsia="Times New Roman" w:hAnsi="Times New Roman" w:cs="Times New Roman"/>
                <w:sz w:val="24"/>
                <w:szCs w:val="24"/>
                <w:lang w:eastAsia="ru-RU"/>
              </w:rPr>
              <w:t xml:space="preserve">272 </w:t>
            </w:r>
          </w:p>
        </w:tc>
        <w:tc>
          <w:tcPr>
            <w:tcW w:w="0" w:type="auto"/>
            <w:hideMark/>
          </w:tcPr>
          <w:p w14:paraId="25770FB3" w14:textId="77777777" w:rsidR="005D224E" w:rsidRPr="00BE23F9" w:rsidRDefault="005D224E" w:rsidP="008B1391">
            <w:pPr>
              <w:jc w:val="center"/>
              <w:rPr>
                <w:rFonts w:ascii="Times New Roman" w:eastAsia="Times New Roman" w:hAnsi="Times New Roman" w:cs="Times New Roman"/>
                <w:sz w:val="24"/>
                <w:szCs w:val="24"/>
                <w:lang w:eastAsia="ru-RU"/>
              </w:rPr>
            </w:pPr>
            <w:r w:rsidRPr="00BE23F9">
              <w:rPr>
                <w:rFonts w:ascii="Times New Roman" w:eastAsia="Times New Roman" w:hAnsi="Times New Roman" w:cs="Times New Roman"/>
                <w:sz w:val="24"/>
                <w:szCs w:val="24"/>
                <w:lang w:eastAsia="ru-RU"/>
              </w:rPr>
              <w:t xml:space="preserve">531 </w:t>
            </w:r>
          </w:p>
        </w:tc>
        <w:tc>
          <w:tcPr>
            <w:tcW w:w="0" w:type="auto"/>
            <w:hideMark/>
          </w:tcPr>
          <w:p w14:paraId="63A1FC0C" w14:textId="77777777" w:rsidR="005D224E" w:rsidRPr="00BE23F9" w:rsidRDefault="005D224E" w:rsidP="008B1391">
            <w:pPr>
              <w:jc w:val="center"/>
              <w:rPr>
                <w:rFonts w:ascii="Times New Roman" w:eastAsia="Times New Roman" w:hAnsi="Times New Roman" w:cs="Times New Roman"/>
                <w:sz w:val="24"/>
                <w:szCs w:val="24"/>
                <w:lang w:eastAsia="ru-RU"/>
              </w:rPr>
            </w:pPr>
            <w:r w:rsidRPr="00BE23F9">
              <w:rPr>
                <w:rFonts w:ascii="Times New Roman" w:eastAsia="Times New Roman" w:hAnsi="Times New Roman" w:cs="Times New Roman"/>
                <w:sz w:val="24"/>
                <w:szCs w:val="24"/>
                <w:lang w:eastAsia="ru-RU"/>
              </w:rPr>
              <w:t>195%</w:t>
            </w:r>
          </w:p>
        </w:tc>
      </w:tr>
      <w:tr w:rsidR="005D224E" w:rsidRPr="00E56426" w14:paraId="22B36EC0" w14:textId="77777777" w:rsidTr="008B1391">
        <w:tc>
          <w:tcPr>
            <w:tcW w:w="0" w:type="auto"/>
            <w:hideMark/>
          </w:tcPr>
          <w:p w14:paraId="76CEC070" w14:textId="77777777" w:rsidR="005D224E" w:rsidRPr="00BE23F9" w:rsidRDefault="005D224E" w:rsidP="008B1391">
            <w:pPr>
              <w:jc w:val="center"/>
              <w:rPr>
                <w:rFonts w:ascii="Times New Roman" w:eastAsia="Times New Roman" w:hAnsi="Times New Roman" w:cs="Times New Roman"/>
                <w:sz w:val="24"/>
                <w:szCs w:val="24"/>
                <w:lang w:eastAsia="ru-RU"/>
              </w:rPr>
            </w:pPr>
            <w:r w:rsidRPr="00BE23F9">
              <w:rPr>
                <w:rFonts w:ascii="Times New Roman" w:eastAsia="Times New Roman" w:hAnsi="Times New Roman" w:cs="Times New Roman"/>
                <w:sz w:val="24"/>
                <w:szCs w:val="24"/>
                <w:lang w:eastAsia="ru-RU"/>
              </w:rPr>
              <w:t>Взыскание таможенных платежей, млн. руб.</w:t>
            </w:r>
          </w:p>
        </w:tc>
        <w:tc>
          <w:tcPr>
            <w:tcW w:w="0" w:type="auto"/>
            <w:hideMark/>
          </w:tcPr>
          <w:p w14:paraId="74B98A03" w14:textId="77777777" w:rsidR="005D224E" w:rsidRPr="00BE23F9" w:rsidRDefault="005D224E" w:rsidP="008B1391">
            <w:pPr>
              <w:jc w:val="center"/>
              <w:rPr>
                <w:rFonts w:ascii="Times New Roman" w:eastAsia="Times New Roman" w:hAnsi="Times New Roman" w:cs="Times New Roman"/>
                <w:sz w:val="24"/>
                <w:szCs w:val="24"/>
                <w:lang w:eastAsia="ru-RU"/>
              </w:rPr>
            </w:pPr>
            <w:r w:rsidRPr="00BE23F9">
              <w:rPr>
                <w:rFonts w:ascii="Times New Roman" w:eastAsia="Times New Roman" w:hAnsi="Times New Roman" w:cs="Times New Roman"/>
                <w:sz w:val="24"/>
                <w:szCs w:val="24"/>
                <w:lang w:eastAsia="ru-RU"/>
              </w:rPr>
              <w:t>256</w:t>
            </w:r>
          </w:p>
        </w:tc>
        <w:tc>
          <w:tcPr>
            <w:tcW w:w="0" w:type="auto"/>
            <w:hideMark/>
          </w:tcPr>
          <w:p w14:paraId="0CF082B7" w14:textId="77777777" w:rsidR="005D224E" w:rsidRPr="00BE23F9" w:rsidRDefault="005D224E" w:rsidP="008B1391">
            <w:pPr>
              <w:jc w:val="center"/>
              <w:rPr>
                <w:rFonts w:ascii="Times New Roman" w:eastAsia="Times New Roman" w:hAnsi="Times New Roman" w:cs="Times New Roman"/>
                <w:sz w:val="24"/>
                <w:szCs w:val="24"/>
                <w:lang w:eastAsia="ru-RU"/>
              </w:rPr>
            </w:pPr>
            <w:r w:rsidRPr="00BE23F9">
              <w:rPr>
                <w:rFonts w:ascii="Times New Roman" w:eastAsia="Times New Roman" w:hAnsi="Times New Roman" w:cs="Times New Roman"/>
                <w:sz w:val="24"/>
                <w:szCs w:val="24"/>
                <w:lang w:eastAsia="ru-RU"/>
              </w:rPr>
              <w:t>465</w:t>
            </w:r>
          </w:p>
        </w:tc>
        <w:tc>
          <w:tcPr>
            <w:tcW w:w="0" w:type="auto"/>
            <w:hideMark/>
          </w:tcPr>
          <w:p w14:paraId="01D35012" w14:textId="77777777" w:rsidR="005D224E" w:rsidRPr="00BE23F9" w:rsidRDefault="005D224E" w:rsidP="008B1391">
            <w:pPr>
              <w:jc w:val="center"/>
              <w:rPr>
                <w:rFonts w:ascii="Times New Roman" w:eastAsia="Times New Roman" w:hAnsi="Times New Roman" w:cs="Times New Roman"/>
                <w:sz w:val="24"/>
                <w:szCs w:val="24"/>
                <w:lang w:eastAsia="ru-RU"/>
              </w:rPr>
            </w:pPr>
            <w:r w:rsidRPr="00BE23F9">
              <w:rPr>
                <w:rFonts w:ascii="Times New Roman" w:eastAsia="Times New Roman" w:hAnsi="Times New Roman" w:cs="Times New Roman"/>
                <w:sz w:val="24"/>
                <w:szCs w:val="24"/>
                <w:lang w:eastAsia="ru-RU"/>
              </w:rPr>
              <w:t>181%</w:t>
            </w:r>
          </w:p>
        </w:tc>
      </w:tr>
    </w:tbl>
    <w:p w14:paraId="58AC75AC"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Исходя из данный таблицы мы можем наблюдать значительный рост количества изменений таможенной стоимости товаров и, как следствие, увеличение доначисленных и взысканных таможенных платежей почти в два раза. </w:t>
      </w:r>
    </w:p>
    <w:p w14:paraId="6B2B219F" w14:textId="78FFDDF5" w:rsidR="005D224E" w:rsidRDefault="005D224E" w:rsidP="005D224E">
      <w:pPr>
        <w:spacing w:after="0" w:line="360" w:lineRule="auto"/>
        <w:ind w:firstLine="709"/>
        <w:jc w:val="both"/>
        <w:rPr>
          <w:rFonts w:ascii="Times New Roman" w:hAnsi="Times New Roman" w:cs="Times New Roman"/>
          <w:sz w:val="28"/>
          <w:szCs w:val="28"/>
        </w:rPr>
      </w:pPr>
      <w:r w:rsidRPr="00A61A06">
        <w:rPr>
          <w:rFonts w:ascii="Times New Roman" w:hAnsi="Times New Roman" w:cs="Times New Roman"/>
          <w:sz w:val="28"/>
          <w:szCs w:val="28"/>
        </w:rPr>
        <w:t>Также было выявлено увеличение возвращенных платежей</w:t>
      </w:r>
      <w:r>
        <w:rPr>
          <w:rFonts w:ascii="Times New Roman" w:hAnsi="Times New Roman" w:cs="Times New Roman"/>
          <w:sz w:val="28"/>
          <w:szCs w:val="28"/>
        </w:rPr>
        <w:t xml:space="preserve"> по судебным решениям почти в 2</w:t>
      </w:r>
      <w:r w:rsidRPr="00A61A06">
        <w:rPr>
          <w:rFonts w:ascii="Times New Roman" w:hAnsi="Times New Roman" w:cs="Times New Roman"/>
          <w:sz w:val="28"/>
          <w:szCs w:val="28"/>
        </w:rPr>
        <w:t>0 раз – с 2,2 млн. рублей в 202</w:t>
      </w:r>
      <w:r w:rsidR="00E03A1F">
        <w:rPr>
          <w:rFonts w:ascii="Times New Roman" w:hAnsi="Times New Roman" w:cs="Times New Roman"/>
          <w:sz w:val="28"/>
          <w:szCs w:val="28"/>
        </w:rPr>
        <w:t>1</w:t>
      </w:r>
      <w:r w:rsidRPr="00A61A06">
        <w:rPr>
          <w:rFonts w:ascii="Times New Roman" w:hAnsi="Times New Roman" w:cs="Times New Roman"/>
          <w:sz w:val="28"/>
          <w:szCs w:val="28"/>
        </w:rPr>
        <w:t xml:space="preserve">году (354 решения) </w:t>
      </w:r>
      <w:r>
        <w:rPr>
          <w:rFonts w:ascii="Times New Roman" w:hAnsi="Times New Roman" w:cs="Times New Roman"/>
          <w:sz w:val="28"/>
          <w:szCs w:val="28"/>
        </w:rPr>
        <w:t>до 4</w:t>
      </w:r>
      <w:r w:rsidRPr="00A61A06">
        <w:rPr>
          <w:rFonts w:ascii="Times New Roman" w:hAnsi="Times New Roman" w:cs="Times New Roman"/>
          <w:sz w:val="28"/>
          <w:szCs w:val="28"/>
        </w:rPr>
        <w:t>4 млн. рублей в 202</w:t>
      </w:r>
      <w:r w:rsidR="00E03A1F">
        <w:rPr>
          <w:rFonts w:ascii="Times New Roman" w:hAnsi="Times New Roman" w:cs="Times New Roman"/>
          <w:sz w:val="28"/>
          <w:szCs w:val="28"/>
        </w:rPr>
        <w:t>2</w:t>
      </w:r>
      <w:r w:rsidRPr="00A61A06">
        <w:rPr>
          <w:rFonts w:ascii="Times New Roman" w:hAnsi="Times New Roman" w:cs="Times New Roman"/>
          <w:sz w:val="28"/>
          <w:szCs w:val="28"/>
        </w:rPr>
        <w:t xml:space="preserve"> году (11 решений).</w:t>
      </w:r>
      <w:r>
        <w:rPr>
          <w:rFonts w:ascii="Times New Roman" w:hAnsi="Times New Roman" w:cs="Times New Roman"/>
          <w:sz w:val="28"/>
          <w:szCs w:val="28"/>
        </w:rPr>
        <w:t xml:space="preserve"> Такая же тенденция наблюдается и с возвращенными платежами по жалобам: в 202</w:t>
      </w:r>
      <w:r w:rsidR="00E03A1F">
        <w:rPr>
          <w:rFonts w:ascii="Times New Roman" w:hAnsi="Times New Roman" w:cs="Times New Roman"/>
          <w:sz w:val="28"/>
          <w:szCs w:val="28"/>
        </w:rPr>
        <w:t>2</w:t>
      </w:r>
      <w:r>
        <w:rPr>
          <w:rFonts w:ascii="Times New Roman" w:hAnsi="Times New Roman" w:cs="Times New Roman"/>
          <w:sz w:val="28"/>
          <w:szCs w:val="28"/>
        </w:rPr>
        <w:t xml:space="preserve"> году возвращено 65,4 млн. руб., в то время как в 202</w:t>
      </w:r>
      <w:r w:rsidR="00E03A1F">
        <w:rPr>
          <w:rFonts w:ascii="Times New Roman" w:hAnsi="Times New Roman" w:cs="Times New Roman"/>
          <w:sz w:val="28"/>
          <w:szCs w:val="28"/>
        </w:rPr>
        <w:t>1</w:t>
      </w:r>
      <w:r>
        <w:rPr>
          <w:rFonts w:ascii="Times New Roman" w:hAnsi="Times New Roman" w:cs="Times New Roman"/>
          <w:sz w:val="28"/>
          <w:szCs w:val="28"/>
        </w:rPr>
        <w:t xml:space="preserve"> году данный показатель составил 3,8 млн. руб.</w:t>
      </w:r>
    </w:p>
    <w:p w14:paraId="70B5BE4E"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Описанное выше объясняется следующими причинами. Во-первых, внедрением в 2021 году системы диспетчеризаций деклараций (основную массу которых составляют товары, прибывающие авиационным и морским транспортом). Благодаря диспетчеризации декларации на товары, которые прибывают в Московский авиационный узел автоматически направляются в Авиационный ЦЭД (находится в подчинении у Шереметьевской таможни). Во-вторых, это связано с завершением формирования центров электронного декларирования.</w:t>
      </w:r>
    </w:p>
    <w:p w14:paraId="0752A5C2" w14:textId="077741A1" w:rsidR="005D224E" w:rsidRDefault="005D224E" w:rsidP="005D224E">
      <w:pPr>
        <w:spacing w:after="0" w:line="360" w:lineRule="auto"/>
        <w:ind w:firstLine="709"/>
        <w:jc w:val="both"/>
        <w:rPr>
          <w:rFonts w:ascii="Times New Roman" w:hAnsi="Times New Roman" w:cs="Times New Roman"/>
          <w:sz w:val="28"/>
          <w:szCs w:val="28"/>
        </w:rPr>
      </w:pPr>
      <w:r w:rsidRPr="00CF4A92">
        <w:rPr>
          <w:rFonts w:ascii="Times New Roman" w:hAnsi="Times New Roman" w:cs="Times New Roman"/>
          <w:sz w:val="28"/>
          <w:szCs w:val="28"/>
        </w:rPr>
        <w:t>Чтобы оценить эффективность и результативность работы отдела таможенного контроля Приказом Шереметьевской таможни утверждены следующие показатели результативности деятельности таможни:</w:t>
      </w:r>
    </w:p>
    <w:p w14:paraId="08ADBADA"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1. </w:t>
      </w:r>
      <w:r w:rsidRPr="001E302A">
        <w:rPr>
          <w:rFonts w:ascii="Times New Roman" w:hAnsi="Times New Roman" w:cs="Times New Roman"/>
          <w:sz w:val="28"/>
          <w:szCs w:val="28"/>
        </w:rPr>
        <w:t>Повышение результативности, эффективности и правомерности решений, принятых в отношении таможенной стоимости товаров</w:t>
      </w:r>
      <w:r>
        <w:rPr>
          <w:rFonts w:ascii="Times New Roman" w:hAnsi="Times New Roman" w:cs="Times New Roman"/>
          <w:sz w:val="28"/>
          <w:szCs w:val="28"/>
        </w:rPr>
        <w:t xml:space="preserve"> (ПРД №6);</w:t>
      </w:r>
    </w:p>
    <w:p w14:paraId="0BE5F997"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2. </w:t>
      </w:r>
      <w:r w:rsidRPr="001E302A">
        <w:rPr>
          <w:rFonts w:ascii="Times New Roman" w:hAnsi="Times New Roman" w:cs="Times New Roman"/>
          <w:sz w:val="28"/>
          <w:szCs w:val="28"/>
        </w:rPr>
        <w:t>Снижение доли возвратов таможенных платежей, уплаченных (взысканных) в связи с внесением изменений в сведения о таможенной стоимости товаров</w:t>
      </w:r>
      <w:r>
        <w:rPr>
          <w:rFonts w:ascii="Times New Roman" w:hAnsi="Times New Roman" w:cs="Times New Roman"/>
          <w:sz w:val="28"/>
          <w:szCs w:val="28"/>
        </w:rPr>
        <w:t xml:space="preserve"> (ПРД №8).</w:t>
      </w:r>
    </w:p>
    <w:p w14:paraId="10A4D8C5" w14:textId="7058B13E" w:rsidR="005D224E" w:rsidRDefault="005D224E" w:rsidP="005D224E">
      <w:pPr>
        <w:spacing w:after="0" w:line="240" w:lineRule="auto"/>
        <w:jc w:val="center"/>
        <w:rPr>
          <w:rFonts w:ascii="Times New Roman" w:hAnsi="Times New Roman" w:cs="Times New Roman"/>
          <w:sz w:val="28"/>
          <w:szCs w:val="28"/>
        </w:rPr>
      </w:pPr>
      <w:r>
        <w:rPr>
          <w:noProof/>
          <w:lang w:eastAsia="ru-RU"/>
        </w:rPr>
        <w:lastRenderedPageBreak/>
        <w:drawing>
          <wp:anchor distT="0" distB="0" distL="114300" distR="114300" simplePos="0" relativeHeight="251662336" behindDoc="0" locked="0" layoutInCell="1" allowOverlap="1" wp14:anchorId="6A0A0C1B" wp14:editId="71A35328">
            <wp:simplePos x="0" y="0"/>
            <wp:positionH relativeFrom="margin">
              <wp:align>center</wp:align>
            </wp:positionH>
            <wp:positionV relativeFrom="paragraph">
              <wp:posOffset>0</wp:posOffset>
            </wp:positionV>
            <wp:extent cx="5486400" cy="3600450"/>
            <wp:effectExtent l="0" t="0" r="0" b="0"/>
            <wp:wrapTopAndBottom/>
            <wp:docPr id="6" name="Диаграмма 6"/>
            <wp:cNvGraphicFramePr/>
            <a:graphic xmlns:a="http://schemas.openxmlformats.org/drawingml/2006/main">
              <a:graphicData uri="http://schemas.openxmlformats.org/drawingml/2006/chart">
                <c:chart xmlns:c="http://schemas.openxmlformats.org/drawingml/2006/chart" xmlns:r="http://schemas.openxmlformats.org/officeDocument/2006/relationships" r:id="rId42"/>
              </a:graphicData>
            </a:graphic>
            <wp14:sizeRelV relativeFrom="margin">
              <wp14:pctHeight>0</wp14:pctHeight>
            </wp14:sizeRelV>
          </wp:anchor>
        </w:drawing>
      </w:r>
      <w:r>
        <w:rPr>
          <w:rFonts w:ascii="Times New Roman" w:hAnsi="Times New Roman" w:cs="Times New Roman"/>
          <w:sz w:val="28"/>
          <w:szCs w:val="28"/>
        </w:rPr>
        <w:t xml:space="preserve">Рис. </w:t>
      </w:r>
      <w:r w:rsidR="00661E7C">
        <w:rPr>
          <w:rFonts w:ascii="Times New Roman" w:hAnsi="Times New Roman" w:cs="Times New Roman"/>
          <w:sz w:val="28"/>
          <w:szCs w:val="28"/>
        </w:rPr>
        <w:t>14</w:t>
      </w:r>
      <w:r>
        <w:rPr>
          <w:rFonts w:ascii="Times New Roman" w:hAnsi="Times New Roman" w:cs="Times New Roman"/>
          <w:sz w:val="28"/>
          <w:szCs w:val="28"/>
        </w:rPr>
        <w:t xml:space="preserve"> Динамика показателя</w:t>
      </w:r>
      <w:r w:rsidRPr="006B2AFE">
        <w:rPr>
          <w:rFonts w:ascii="Times New Roman" w:hAnsi="Times New Roman" w:cs="Times New Roman"/>
          <w:sz w:val="28"/>
          <w:szCs w:val="28"/>
        </w:rPr>
        <w:t xml:space="preserve"> </w:t>
      </w:r>
      <w:r>
        <w:rPr>
          <w:rFonts w:ascii="Times New Roman" w:hAnsi="Times New Roman" w:cs="Times New Roman"/>
          <w:sz w:val="28"/>
          <w:szCs w:val="28"/>
        </w:rPr>
        <w:t>результативности деятельности «</w:t>
      </w:r>
      <w:r w:rsidRPr="001E302A">
        <w:rPr>
          <w:rFonts w:ascii="Times New Roman" w:hAnsi="Times New Roman" w:cs="Times New Roman"/>
          <w:sz w:val="28"/>
          <w:szCs w:val="28"/>
        </w:rPr>
        <w:t>Повышение результативности, эффективности и правомерности решений, принятых в отношении таможенной стоимости товаров</w:t>
      </w:r>
      <w:r>
        <w:rPr>
          <w:rFonts w:ascii="Times New Roman" w:hAnsi="Times New Roman" w:cs="Times New Roman"/>
          <w:sz w:val="28"/>
          <w:szCs w:val="28"/>
        </w:rPr>
        <w:t>»</w:t>
      </w:r>
      <w:r>
        <w:rPr>
          <w:rStyle w:val="ad"/>
          <w:rFonts w:ascii="Times New Roman" w:hAnsi="Times New Roman" w:cs="Times New Roman"/>
          <w:sz w:val="28"/>
          <w:szCs w:val="28"/>
        </w:rPr>
        <w:footnoteReference w:id="15"/>
      </w:r>
    </w:p>
    <w:p w14:paraId="1F1CB8E9" w14:textId="77777777" w:rsidR="005D224E" w:rsidRDefault="005D224E" w:rsidP="005D224E">
      <w:pPr>
        <w:spacing w:after="0" w:line="240" w:lineRule="auto"/>
        <w:jc w:val="center"/>
        <w:rPr>
          <w:rFonts w:ascii="Times New Roman" w:hAnsi="Times New Roman" w:cs="Times New Roman"/>
          <w:sz w:val="28"/>
          <w:szCs w:val="28"/>
        </w:rPr>
      </w:pPr>
    </w:p>
    <w:p w14:paraId="2BEE9717" w14:textId="23440A9A"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 202</w:t>
      </w:r>
      <w:r w:rsidR="00B97DC6">
        <w:rPr>
          <w:rFonts w:ascii="Times New Roman" w:hAnsi="Times New Roman" w:cs="Times New Roman"/>
          <w:sz w:val="28"/>
          <w:szCs w:val="28"/>
        </w:rPr>
        <w:t>1</w:t>
      </w:r>
      <w:r>
        <w:rPr>
          <w:rFonts w:ascii="Times New Roman" w:hAnsi="Times New Roman" w:cs="Times New Roman"/>
          <w:sz w:val="28"/>
          <w:szCs w:val="28"/>
        </w:rPr>
        <w:t xml:space="preserve"> году установленное значение ПРД №6 составляло не менее 65%, а в 202</w:t>
      </w:r>
      <w:r w:rsidR="00B97DC6">
        <w:rPr>
          <w:rFonts w:ascii="Times New Roman" w:hAnsi="Times New Roman" w:cs="Times New Roman"/>
          <w:sz w:val="28"/>
          <w:szCs w:val="28"/>
        </w:rPr>
        <w:t>2</w:t>
      </w:r>
      <w:r>
        <w:rPr>
          <w:rFonts w:ascii="Times New Roman" w:hAnsi="Times New Roman" w:cs="Times New Roman"/>
          <w:sz w:val="28"/>
          <w:szCs w:val="28"/>
        </w:rPr>
        <w:t xml:space="preserve"> году установленное значение было увеличено до 70%. На всем исследуемом промежутке времени фактическое значение показателя было выше установленного. В 202</w:t>
      </w:r>
      <w:r w:rsidR="00B97DC6">
        <w:rPr>
          <w:rFonts w:ascii="Times New Roman" w:hAnsi="Times New Roman" w:cs="Times New Roman"/>
          <w:sz w:val="28"/>
          <w:szCs w:val="28"/>
        </w:rPr>
        <w:t>1</w:t>
      </w:r>
      <w:r>
        <w:rPr>
          <w:rFonts w:ascii="Times New Roman" w:hAnsi="Times New Roman" w:cs="Times New Roman"/>
          <w:sz w:val="28"/>
          <w:szCs w:val="28"/>
        </w:rPr>
        <w:t xml:space="preserve"> году значение ПРД №6 снижалось 3 квартала, что вызвано сокращением объемов мировой торговли из-за пандемии </w:t>
      </w:r>
      <w:r>
        <w:rPr>
          <w:rFonts w:ascii="Times New Roman" w:hAnsi="Times New Roman" w:cs="Times New Roman"/>
          <w:sz w:val="28"/>
          <w:szCs w:val="28"/>
          <w:lang w:val="en-US"/>
        </w:rPr>
        <w:t>Covid</w:t>
      </w:r>
      <w:r w:rsidRPr="00B9577B">
        <w:rPr>
          <w:rFonts w:ascii="Times New Roman" w:hAnsi="Times New Roman" w:cs="Times New Roman"/>
          <w:sz w:val="28"/>
          <w:szCs w:val="28"/>
        </w:rPr>
        <w:t>-19</w:t>
      </w:r>
      <w:r>
        <w:rPr>
          <w:rFonts w:ascii="Times New Roman" w:hAnsi="Times New Roman" w:cs="Times New Roman"/>
          <w:sz w:val="28"/>
          <w:szCs w:val="28"/>
        </w:rPr>
        <w:t>. В 202</w:t>
      </w:r>
      <w:r w:rsidR="00B97DC6">
        <w:rPr>
          <w:rFonts w:ascii="Times New Roman" w:hAnsi="Times New Roman" w:cs="Times New Roman"/>
          <w:sz w:val="28"/>
          <w:szCs w:val="28"/>
        </w:rPr>
        <w:t>2</w:t>
      </w:r>
      <w:r>
        <w:rPr>
          <w:rFonts w:ascii="Times New Roman" w:hAnsi="Times New Roman" w:cs="Times New Roman"/>
          <w:sz w:val="28"/>
          <w:szCs w:val="28"/>
        </w:rPr>
        <w:t xml:space="preserve"> году значения показателя были выше по сравнению со значениями 202</w:t>
      </w:r>
      <w:r w:rsidR="00B97DC6">
        <w:rPr>
          <w:rFonts w:ascii="Times New Roman" w:hAnsi="Times New Roman" w:cs="Times New Roman"/>
          <w:sz w:val="28"/>
          <w:szCs w:val="28"/>
        </w:rPr>
        <w:t>1</w:t>
      </w:r>
      <w:r>
        <w:rPr>
          <w:rFonts w:ascii="Times New Roman" w:hAnsi="Times New Roman" w:cs="Times New Roman"/>
          <w:sz w:val="28"/>
          <w:szCs w:val="28"/>
        </w:rPr>
        <w:t xml:space="preserve"> года, и демонстрирует небольшие колебания. Рост показателя относительно уровня 202</w:t>
      </w:r>
      <w:r w:rsidR="00B97DC6">
        <w:rPr>
          <w:rFonts w:ascii="Times New Roman" w:hAnsi="Times New Roman" w:cs="Times New Roman"/>
          <w:sz w:val="28"/>
          <w:szCs w:val="28"/>
        </w:rPr>
        <w:t>1</w:t>
      </w:r>
      <w:r>
        <w:rPr>
          <w:rFonts w:ascii="Times New Roman" w:hAnsi="Times New Roman" w:cs="Times New Roman"/>
          <w:sz w:val="28"/>
          <w:szCs w:val="28"/>
        </w:rPr>
        <w:t xml:space="preserve"> года вызвано двумя факторами: во-первых, адаптацией мировой торговли к новым условиям, связанных с пандемией, </w:t>
      </w:r>
      <w:proofErr w:type="gramStart"/>
      <w:r>
        <w:rPr>
          <w:rFonts w:ascii="Times New Roman" w:hAnsi="Times New Roman" w:cs="Times New Roman"/>
          <w:sz w:val="28"/>
          <w:szCs w:val="28"/>
        </w:rPr>
        <w:t>а во-вторых</w:t>
      </w:r>
      <w:proofErr w:type="gramEnd"/>
      <w:r>
        <w:rPr>
          <w:rFonts w:ascii="Times New Roman" w:hAnsi="Times New Roman" w:cs="Times New Roman"/>
          <w:sz w:val="28"/>
          <w:szCs w:val="28"/>
        </w:rPr>
        <w:t xml:space="preserve"> новым установленным нормативом (не менее 70%). </w:t>
      </w:r>
    </w:p>
    <w:p w14:paraId="7B271C07" w14:textId="77777777" w:rsidR="005D224E" w:rsidRDefault="005D224E" w:rsidP="005D224E">
      <w:pPr>
        <w:spacing w:after="0" w:line="360" w:lineRule="auto"/>
        <w:jc w:val="both"/>
        <w:rPr>
          <w:rFonts w:ascii="Times New Roman" w:hAnsi="Times New Roman" w:cs="Times New Roman"/>
          <w:sz w:val="28"/>
          <w:szCs w:val="28"/>
        </w:rPr>
      </w:pPr>
      <w:r>
        <w:rPr>
          <w:noProof/>
          <w:lang w:eastAsia="ru-RU"/>
        </w:rPr>
        <w:lastRenderedPageBreak/>
        <w:drawing>
          <wp:anchor distT="0" distB="0" distL="114300" distR="114300" simplePos="0" relativeHeight="251663360" behindDoc="0" locked="0" layoutInCell="1" allowOverlap="1" wp14:anchorId="17619CCD" wp14:editId="2692337C">
            <wp:simplePos x="0" y="0"/>
            <wp:positionH relativeFrom="margin">
              <wp:align>center</wp:align>
            </wp:positionH>
            <wp:positionV relativeFrom="paragraph">
              <wp:posOffset>439420</wp:posOffset>
            </wp:positionV>
            <wp:extent cx="5486400" cy="3200400"/>
            <wp:effectExtent l="0" t="0" r="0" b="0"/>
            <wp:wrapTopAndBottom/>
            <wp:docPr id="7" name="Диаграмма 7"/>
            <wp:cNvGraphicFramePr/>
            <a:graphic xmlns:a="http://schemas.openxmlformats.org/drawingml/2006/main">
              <a:graphicData uri="http://schemas.openxmlformats.org/drawingml/2006/chart">
                <c:chart xmlns:c="http://schemas.openxmlformats.org/drawingml/2006/chart" xmlns:r="http://schemas.openxmlformats.org/officeDocument/2006/relationships" r:id="rId43"/>
              </a:graphicData>
            </a:graphic>
          </wp:anchor>
        </w:drawing>
      </w:r>
    </w:p>
    <w:p w14:paraId="266B2E1B" w14:textId="7D54851C" w:rsidR="005D224E" w:rsidRDefault="005D224E" w:rsidP="005D224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 </w:t>
      </w:r>
      <w:r w:rsidR="00661E7C">
        <w:rPr>
          <w:rFonts w:ascii="Times New Roman" w:hAnsi="Times New Roman" w:cs="Times New Roman"/>
          <w:sz w:val="28"/>
          <w:szCs w:val="28"/>
        </w:rPr>
        <w:t>15</w:t>
      </w:r>
      <w:r>
        <w:rPr>
          <w:rFonts w:ascii="Times New Roman" w:hAnsi="Times New Roman" w:cs="Times New Roman"/>
          <w:sz w:val="28"/>
          <w:szCs w:val="28"/>
        </w:rPr>
        <w:t xml:space="preserve"> Динамика показателя результативности деятельности «</w:t>
      </w:r>
      <w:r w:rsidRPr="001E302A">
        <w:rPr>
          <w:rFonts w:ascii="Times New Roman" w:hAnsi="Times New Roman" w:cs="Times New Roman"/>
          <w:sz w:val="28"/>
          <w:szCs w:val="28"/>
        </w:rPr>
        <w:t>Снижение доли возвратов таможенных платежей, уплаченных (взысканных) в связи с внесением изменений в сведения о таможенной стоимости товаров</w:t>
      </w:r>
      <w:r>
        <w:rPr>
          <w:rFonts w:ascii="Times New Roman" w:hAnsi="Times New Roman" w:cs="Times New Roman"/>
          <w:sz w:val="28"/>
          <w:szCs w:val="28"/>
        </w:rPr>
        <w:t>»</w:t>
      </w:r>
      <w:r>
        <w:rPr>
          <w:rStyle w:val="ad"/>
          <w:rFonts w:ascii="Times New Roman" w:hAnsi="Times New Roman" w:cs="Times New Roman"/>
          <w:sz w:val="28"/>
          <w:szCs w:val="28"/>
        </w:rPr>
        <w:footnoteReference w:id="16"/>
      </w:r>
    </w:p>
    <w:p w14:paraId="78D49B7F" w14:textId="77777777" w:rsidR="005D224E" w:rsidRDefault="005D224E" w:rsidP="005D224E">
      <w:pPr>
        <w:spacing w:after="0" w:line="360" w:lineRule="auto"/>
        <w:ind w:firstLine="709"/>
        <w:jc w:val="both"/>
        <w:rPr>
          <w:rFonts w:ascii="Times New Roman" w:hAnsi="Times New Roman" w:cs="Times New Roman"/>
          <w:sz w:val="28"/>
          <w:szCs w:val="28"/>
        </w:rPr>
      </w:pPr>
    </w:p>
    <w:p w14:paraId="0F5E413D" w14:textId="304CD586" w:rsidR="005D224E" w:rsidRPr="004E6642"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Установленное значение для ПРД №8, как в 202</w:t>
      </w:r>
      <w:r w:rsidR="00E86452">
        <w:rPr>
          <w:rFonts w:ascii="Times New Roman" w:hAnsi="Times New Roman" w:cs="Times New Roman"/>
          <w:sz w:val="28"/>
          <w:szCs w:val="28"/>
        </w:rPr>
        <w:t>1</w:t>
      </w:r>
      <w:r>
        <w:rPr>
          <w:rFonts w:ascii="Times New Roman" w:hAnsi="Times New Roman" w:cs="Times New Roman"/>
          <w:sz w:val="28"/>
          <w:szCs w:val="28"/>
        </w:rPr>
        <w:t>, так и в 202</w:t>
      </w:r>
      <w:r w:rsidR="00E86452">
        <w:rPr>
          <w:rFonts w:ascii="Times New Roman" w:hAnsi="Times New Roman" w:cs="Times New Roman"/>
          <w:sz w:val="28"/>
          <w:szCs w:val="28"/>
        </w:rPr>
        <w:t>2</w:t>
      </w:r>
      <w:r>
        <w:rPr>
          <w:rFonts w:ascii="Times New Roman" w:hAnsi="Times New Roman" w:cs="Times New Roman"/>
          <w:sz w:val="28"/>
          <w:szCs w:val="28"/>
        </w:rPr>
        <w:t xml:space="preserve"> году составляет не менее 95%. Исходя из данных, представленных на рисунке </w:t>
      </w:r>
      <w:r w:rsidR="00661E7C">
        <w:rPr>
          <w:rFonts w:ascii="Times New Roman" w:hAnsi="Times New Roman" w:cs="Times New Roman"/>
          <w:sz w:val="28"/>
          <w:szCs w:val="28"/>
        </w:rPr>
        <w:t>15</w:t>
      </w:r>
      <w:r w:rsidRPr="00A96536">
        <w:rPr>
          <w:rFonts w:ascii="Times New Roman" w:hAnsi="Times New Roman" w:cs="Times New Roman"/>
          <w:sz w:val="28"/>
          <w:szCs w:val="28"/>
        </w:rPr>
        <w:t xml:space="preserve">, </w:t>
      </w:r>
      <w:r>
        <w:rPr>
          <w:rFonts w:ascii="Times New Roman" w:hAnsi="Times New Roman" w:cs="Times New Roman"/>
          <w:sz w:val="28"/>
          <w:szCs w:val="28"/>
        </w:rPr>
        <w:t>следует отметить, что установленное знание выполнялось на всем рассматриваемом периоде. Однако вплоть до первого квартала 202</w:t>
      </w:r>
      <w:r w:rsidR="00E86452">
        <w:rPr>
          <w:rFonts w:ascii="Times New Roman" w:hAnsi="Times New Roman" w:cs="Times New Roman"/>
          <w:sz w:val="28"/>
          <w:szCs w:val="28"/>
        </w:rPr>
        <w:t>2</w:t>
      </w:r>
      <w:r>
        <w:rPr>
          <w:rFonts w:ascii="Times New Roman" w:hAnsi="Times New Roman" w:cs="Times New Roman"/>
          <w:sz w:val="28"/>
          <w:szCs w:val="28"/>
        </w:rPr>
        <w:t xml:space="preserve"> года значение показателя падало, что говорит о том, что сумма возвратов таможенных платежей, уплаченных в связи </w:t>
      </w:r>
      <w:r w:rsidRPr="001E302A">
        <w:rPr>
          <w:rFonts w:ascii="Times New Roman" w:hAnsi="Times New Roman" w:cs="Times New Roman"/>
          <w:sz w:val="28"/>
          <w:szCs w:val="28"/>
        </w:rPr>
        <w:t xml:space="preserve">с внесением изменений в сведения о таможенной стоимости </w:t>
      </w:r>
      <w:proofErr w:type="gramStart"/>
      <w:r w:rsidRPr="001E302A">
        <w:rPr>
          <w:rFonts w:ascii="Times New Roman" w:hAnsi="Times New Roman" w:cs="Times New Roman"/>
          <w:sz w:val="28"/>
          <w:szCs w:val="28"/>
        </w:rPr>
        <w:t>товаров</w:t>
      </w:r>
      <w:proofErr w:type="gramEnd"/>
      <w:r>
        <w:rPr>
          <w:rFonts w:ascii="Times New Roman" w:hAnsi="Times New Roman" w:cs="Times New Roman"/>
          <w:sz w:val="28"/>
          <w:szCs w:val="28"/>
        </w:rPr>
        <w:t xml:space="preserve"> росла. Однако со второго квартала 202</w:t>
      </w:r>
      <w:r w:rsidR="00E86452">
        <w:rPr>
          <w:rFonts w:ascii="Times New Roman" w:hAnsi="Times New Roman" w:cs="Times New Roman"/>
          <w:sz w:val="28"/>
          <w:szCs w:val="28"/>
        </w:rPr>
        <w:t>2</w:t>
      </w:r>
      <w:r>
        <w:rPr>
          <w:rFonts w:ascii="Times New Roman" w:hAnsi="Times New Roman" w:cs="Times New Roman"/>
          <w:sz w:val="28"/>
          <w:szCs w:val="28"/>
        </w:rPr>
        <w:t xml:space="preserve"> года данная тенденция изменилась и на конец 202</w:t>
      </w:r>
      <w:r w:rsidR="00E86452">
        <w:rPr>
          <w:rFonts w:ascii="Times New Roman" w:hAnsi="Times New Roman" w:cs="Times New Roman"/>
          <w:sz w:val="28"/>
          <w:szCs w:val="28"/>
        </w:rPr>
        <w:t>2</w:t>
      </w:r>
      <w:r>
        <w:rPr>
          <w:rFonts w:ascii="Times New Roman" w:hAnsi="Times New Roman" w:cs="Times New Roman"/>
          <w:sz w:val="28"/>
          <w:szCs w:val="28"/>
        </w:rPr>
        <w:t xml:space="preserve"> года значение данного показателя составило почти 100%, что на 5% выше установленного значения. Это свидетельствует о снижении суммы возвратов таможенных платежей, уплаченных в связи </w:t>
      </w:r>
      <w:r w:rsidRPr="001E302A">
        <w:rPr>
          <w:rFonts w:ascii="Times New Roman" w:hAnsi="Times New Roman" w:cs="Times New Roman"/>
          <w:sz w:val="28"/>
          <w:szCs w:val="28"/>
        </w:rPr>
        <w:t>с внесением изменений в сведения о таможенной стоимости</w:t>
      </w:r>
      <w:r>
        <w:rPr>
          <w:rFonts w:ascii="Times New Roman" w:hAnsi="Times New Roman" w:cs="Times New Roman"/>
          <w:sz w:val="28"/>
          <w:szCs w:val="28"/>
        </w:rPr>
        <w:t>.</w:t>
      </w:r>
    </w:p>
    <w:p w14:paraId="2DF97C6E" w14:textId="77777777" w:rsidR="005D224E" w:rsidRPr="00A61A06"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lastRenderedPageBreak/>
        <w:t>Выполнение установленных значений ПРД №6 и ПРД №8 говорит о том, что отдел контроля таможенной стоимости эффективно справляется со своими задачами, касающимися непосредственно контроля таможенной стоимости.</w:t>
      </w:r>
    </w:p>
    <w:p w14:paraId="57275570" w14:textId="77777777" w:rsidR="005D224E" w:rsidRPr="00E03247" w:rsidRDefault="005D224E" w:rsidP="005D224E">
      <w:pPr>
        <w:spacing w:after="0" w:line="360" w:lineRule="auto"/>
        <w:ind w:firstLine="709"/>
        <w:jc w:val="both"/>
        <w:rPr>
          <w:rFonts w:ascii="Times New Roman" w:hAnsi="Times New Roman" w:cs="Times New Roman"/>
          <w:color w:val="000000"/>
          <w:sz w:val="28"/>
          <w:szCs w:val="28"/>
        </w:rPr>
      </w:pPr>
      <w:r w:rsidRPr="00E03247">
        <w:rPr>
          <w:rFonts w:ascii="Times New Roman" w:hAnsi="Times New Roman" w:cs="Times New Roman"/>
          <w:color w:val="000000"/>
          <w:sz w:val="28"/>
          <w:szCs w:val="28"/>
        </w:rPr>
        <w:t>Таким образом, таможенная стоимость товаров считается принятой, если при проведении таможенного контроля до выпуска не были обнаружены признаки недостоверного определения таможенной стоимости и товары были выпущены; или сведения, которые были заявлены в декларации на товары в отношении таможенной стоимости были изменены. Также, если товары были выпущены до завершения проверки документов и сведений, а по результатам проверки была подтверждена их достоверность и полнота. Нормы, определяющие алгоритм действий таможенных органов закреплены в ст. 325 ТК ЕАЭС. Порядок проведения проверки делится на три этапа, связанные с комплектами запрашиваемых документов.</w:t>
      </w:r>
    </w:p>
    <w:p w14:paraId="1B057C7C" w14:textId="77777777" w:rsidR="005D224E" w:rsidRPr="004F4586" w:rsidRDefault="005D224E" w:rsidP="005D224E">
      <w:pPr>
        <w:pStyle w:val="a3"/>
        <w:spacing w:before="0" w:line="240" w:lineRule="auto"/>
        <w:jc w:val="center"/>
        <w:rPr>
          <w:color w:val="auto"/>
        </w:rPr>
      </w:pPr>
    </w:p>
    <w:p w14:paraId="3C856FDF" w14:textId="77777777" w:rsidR="005D224E" w:rsidRDefault="005D224E" w:rsidP="005D224E">
      <w:pPr>
        <w:pStyle w:val="a3"/>
        <w:spacing w:before="0" w:line="240" w:lineRule="auto"/>
        <w:jc w:val="center"/>
        <w:rPr>
          <w:color w:val="auto"/>
        </w:rPr>
      </w:pPr>
      <w:bookmarkStart w:id="25" w:name="_Toc152675675"/>
      <w:r w:rsidRPr="004F4586">
        <w:rPr>
          <w:color w:val="auto"/>
        </w:rPr>
        <w:t>2.3. Порядок отложенного определения таможенной стоимости</w:t>
      </w:r>
      <w:bookmarkEnd w:id="25"/>
    </w:p>
    <w:p w14:paraId="66219B25" w14:textId="77777777" w:rsidR="005D224E" w:rsidRPr="004F4586" w:rsidRDefault="005D224E" w:rsidP="005D224E">
      <w:pPr>
        <w:pStyle w:val="a3"/>
        <w:spacing w:before="0" w:line="360" w:lineRule="auto"/>
        <w:jc w:val="center"/>
        <w:rPr>
          <w:color w:val="auto"/>
        </w:rPr>
      </w:pPr>
    </w:p>
    <w:p w14:paraId="3249D22E"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sidRPr="00FD5F8B">
        <w:rPr>
          <w:rFonts w:ascii="Times New Roman" w:eastAsia="Times New Roman" w:hAnsi="Times New Roman" w:cs="Times New Roman"/>
          <w:sz w:val="28"/>
          <w:szCs w:val="28"/>
          <w:lang w:eastAsia="ru-RU"/>
        </w:rPr>
        <w:t>Процедура отложенного определения таможенной стоимости товаров</w:t>
      </w:r>
      <w:r>
        <w:rPr>
          <w:rFonts w:ascii="Times New Roman" w:eastAsia="Times New Roman" w:hAnsi="Times New Roman" w:cs="Times New Roman"/>
          <w:sz w:val="28"/>
          <w:szCs w:val="28"/>
          <w:lang w:eastAsia="ru-RU"/>
        </w:rPr>
        <w:t xml:space="preserve"> применяется в соответствии со статьей 38 ТК ЕАЭС. Данная процедура используется в случае, когда необходимо отложить срок определения точной таможенной стоимости товара из-за отсутствия коммерческих и бухгалтерских документов на день регистрации ДТ, которые подтверждают фактические сведения, необходимые для оценки товаров в таможенных целях.  Также процедура отложенного определения таможенной </w:t>
      </w:r>
      <w:r w:rsidRPr="00FD5F8B">
        <w:rPr>
          <w:rFonts w:ascii="Times New Roman" w:eastAsia="Times New Roman" w:hAnsi="Times New Roman" w:cs="Times New Roman"/>
          <w:sz w:val="28"/>
          <w:szCs w:val="28"/>
          <w:lang w:eastAsia="ru-RU"/>
        </w:rPr>
        <w:t>определяет порядок максимально возможного использования при оценке товара в таможенных целях рыночного (основного) метода определения таможенной стоимости (</w:t>
      </w:r>
      <w:r>
        <w:rPr>
          <w:rFonts w:ascii="Times New Roman" w:eastAsia="Times New Roman" w:hAnsi="Times New Roman" w:cs="Times New Roman"/>
          <w:sz w:val="28"/>
          <w:szCs w:val="28"/>
          <w:lang w:eastAsia="ru-RU"/>
        </w:rPr>
        <w:t>метод 1</w:t>
      </w:r>
      <w:r w:rsidRPr="00FD5F8B">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при указанных ранее обстоятельствах.</w:t>
      </w:r>
    </w:p>
    <w:p w14:paraId="5510EC3A"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Итак, отложенное определение таможенной стоимости применяется в случаях, если товары:</w:t>
      </w:r>
    </w:p>
    <w:p w14:paraId="05434BC9"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торгуются на международных товарных биржах;</w:t>
      </w:r>
    </w:p>
    <w:p w14:paraId="01BF01EA"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в соответствии с контрактом продаются с целью вывоза на таможенную территорию ЕАЭС;</w:t>
      </w:r>
    </w:p>
    <w:p w14:paraId="17B921B6"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75A83">
        <w:rPr>
          <w:rFonts w:ascii="Times New Roman" w:eastAsia="Times New Roman" w:hAnsi="Times New Roman" w:cs="Times New Roman"/>
          <w:sz w:val="28"/>
          <w:szCs w:val="28"/>
          <w:lang w:eastAsia="ru-RU"/>
        </w:rPr>
        <w:t>помещаются под таможенную процедуру выпуска для внутреннего потребления;</w:t>
      </w:r>
    </w:p>
    <w:p w14:paraId="344F0356"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D75A83">
        <w:rPr>
          <w:rFonts w:ascii="Times New Roman" w:eastAsia="Times New Roman" w:hAnsi="Times New Roman" w:cs="Times New Roman"/>
          <w:sz w:val="28"/>
          <w:szCs w:val="28"/>
          <w:lang w:eastAsia="ru-RU"/>
        </w:rPr>
        <w:t xml:space="preserve">не имеют фиксированной цены, подлежащей уплате за их поставку, но при этом сторонами внешнеторгового контракта согласован порядок расчета рыночной стоимости товаров посредством механизма формирования их фактической цены в ходе биржевых торгов. </w:t>
      </w:r>
    </w:p>
    <w:p w14:paraId="563FB7E8"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применении процедуры</w:t>
      </w:r>
      <w:r w:rsidRPr="00FD5F8B">
        <w:rPr>
          <w:rFonts w:ascii="Times New Roman" w:eastAsia="Times New Roman" w:hAnsi="Times New Roman" w:cs="Times New Roman"/>
          <w:sz w:val="28"/>
          <w:szCs w:val="28"/>
          <w:lang w:eastAsia="ru-RU"/>
        </w:rPr>
        <w:t xml:space="preserve"> отложенного определения таможенной стоимости товаров</w:t>
      </w:r>
      <w:r>
        <w:rPr>
          <w:rFonts w:ascii="Times New Roman" w:eastAsia="Times New Roman" w:hAnsi="Times New Roman" w:cs="Times New Roman"/>
          <w:sz w:val="28"/>
          <w:szCs w:val="28"/>
          <w:lang w:eastAsia="ru-RU"/>
        </w:rPr>
        <w:t xml:space="preserve"> при декларировании товаров в графе 43 «Код МОС» в первом подразделе ставится «0».</w:t>
      </w:r>
    </w:p>
    <w:p w14:paraId="657F2BED"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Порядок применения процедуры можно разделить на два этапа, связанных непосредственно с видами таможенной стоимости, используемыми в данной процедуре. Первый этап – непосредственно декларирование товаров с заявлением предварительной величины таможенной стоимости товаров (первоначальной стоимости товаров). Такая стоимость товаров основывается на следующих данных:</w:t>
      </w:r>
    </w:p>
    <w:p w14:paraId="5AC50B79"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прогнозируемых показателях, которые содержатся в бизнес-планах компании;</w:t>
      </w:r>
    </w:p>
    <w:p w14:paraId="5455FBC5"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плановых калькуляциях цены;</w:t>
      </w:r>
    </w:p>
    <w:p w14:paraId="01A8941B"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прейскурантах;</w:t>
      </w:r>
    </w:p>
    <w:p w14:paraId="3B4673A0"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r w:rsidRPr="00B717FF">
        <w:rPr>
          <w:rFonts w:ascii="Times New Roman" w:eastAsia="Times New Roman" w:hAnsi="Times New Roman" w:cs="Times New Roman"/>
          <w:sz w:val="28"/>
          <w:szCs w:val="28"/>
          <w:lang w:eastAsia="ru-RU"/>
        </w:rPr>
        <w:t xml:space="preserve">каталогах </w:t>
      </w:r>
      <w:r>
        <w:rPr>
          <w:rFonts w:ascii="Times New Roman" w:eastAsia="Times New Roman" w:hAnsi="Times New Roman" w:cs="Times New Roman"/>
          <w:sz w:val="28"/>
          <w:szCs w:val="28"/>
          <w:lang w:eastAsia="ru-RU"/>
        </w:rPr>
        <w:t>и иных коммерческих документах;</w:t>
      </w:r>
    </w:p>
    <w:p w14:paraId="18CE9439"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sidRPr="00B717FF">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w:t>
      </w:r>
      <w:r w:rsidRPr="00B717FF">
        <w:rPr>
          <w:rFonts w:ascii="Times New Roman" w:eastAsia="Times New Roman" w:hAnsi="Times New Roman" w:cs="Times New Roman"/>
          <w:sz w:val="28"/>
          <w:szCs w:val="28"/>
          <w:lang w:eastAsia="ru-RU"/>
        </w:rPr>
        <w:t>данных бухгалтерского учета за предшествующий период (месяц, квартал, год)</w:t>
      </w:r>
      <w:r>
        <w:rPr>
          <w:rFonts w:ascii="Times New Roman" w:eastAsia="Times New Roman" w:hAnsi="Times New Roman" w:cs="Times New Roman"/>
          <w:sz w:val="28"/>
          <w:szCs w:val="28"/>
          <w:lang w:eastAsia="ru-RU"/>
        </w:rPr>
        <w:t>.</w:t>
      </w:r>
    </w:p>
    <w:p w14:paraId="48191E81"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Второй этап – после выпуска товаров декларант заявляет окончательную (точную) таможенную стоимость товаров. Данная стоимость рассчитана на основании:</w:t>
      </w:r>
    </w:p>
    <w:p w14:paraId="06B425DD"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биржевых цен, которые берутся на дату, указанную в договоре;</w:t>
      </w:r>
    </w:p>
    <w:p w14:paraId="481D5172"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lastRenderedPageBreak/>
        <w:t xml:space="preserve">– </w:t>
      </w:r>
      <w:r w:rsidRPr="00B717FF">
        <w:rPr>
          <w:rFonts w:ascii="Times New Roman" w:eastAsia="Times New Roman" w:hAnsi="Times New Roman" w:cs="Times New Roman"/>
          <w:sz w:val="28"/>
          <w:szCs w:val="28"/>
          <w:lang w:eastAsia="ru-RU"/>
        </w:rPr>
        <w:t xml:space="preserve">фактического объема ввоза товаров и иных показателей, полученных на основании данных бухгалтерского учета в порядке, установленном внешнеторговым контрактом, с внесением соответствующих изменений в декларацию на товары. </w:t>
      </w:r>
    </w:p>
    <w:p w14:paraId="27CA6B2A"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Таким образом соотношение первоначальной и точной величиной таможенной стоимости товаров описывается следующей математической моделью:</w:t>
      </w:r>
    </w:p>
    <w:p w14:paraId="1B7E018D" w14:textId="77777777" w:rsidR="005D224E" w:rsidRDefault="005D224E" w:rsidP="005D224E">
      <w:pPr>
        <w:tabs>
          <w:tab w:val="center" w:pos="4818"/>
          <w:tab w:val="right" w:pos="9637"/>
        </w:tabs>
        <w:spacing w:after="0" w:line="360" w:lineRule="auto"/>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b/>
      </w:r>
      <w:r w:rsidRPr="00B717FF">
        <w:rPr>
          <w:rFonts w:ascii="Times New Roman" w:eastAsia="Times New Roman" w:hAnsi="Times New Roman" w:cs="Times New Roman"/>
          <w:sz w:val="28"/>
          <w:szCs w:val="28"/>
          <w:lang w:eastAsia="ru-RU"/>
        </w:rPr>
        <w:t xml:space="preserve">CVF = </w:t>
      </w:r>
      <w:proofErr w:type="spellStart"/>
      <w:r w:rsidRPr="00B717FF">
        <w:rPr>
          <w:rFonts w:ascii="Times New Roman" w:eastAsia="Times New Roman" w:hAnsi="Times New Roman" w:cs="Times New Roman"/>
          <w:sz w:val="28"/>
          <w:szCs w:val="28"/>
          <w:lang w:eastAsia="ru-RU"/>
        </w:rPr>
        <w:t>CVp</w:t>
      </w:r>
      <w:proofErr w:type="spellEnd"/>
      <w:r w:rsidRPr="00B717FF">
        <w:rPr>
          <w:rFonts w:ascii="Times New Roman" w:eastAsia="Times New Roman" w:hAnsi="Times New Roman" w:cs="Times New Roman"/>
          <w:sz w:val="28"/>
          <w:szCs w:val="28"/>
          <w:lang w:eastAsia="ru-RU"/>
        </w:rPr>
        <w:t xml:space="preserve"> + A,</w:t>
      </w:r>
      <w:r>
        <w:rPr>
          <w:rFonts w:ascii="Times New Roman" w:eastAsia="Times New Roman" w:hAnsi="Times New Roman" w:cs="Times New Roman"/>
          <w:sz w:val="28"/>
          <w:szCs w:val="28"/>
          <w:lang w:eastAsia="ru-RU"/>
        </w:rPr>
        <w:tab/>
        <w:t>(1)</w:t>
      </w:r>
    </w:p>
    <w:p w14:paraId="4C0E4927" w14:textId="77777777" w:rsidR="005D224E" w:rsidRPr="00B717FF" w:rsidRDefault="005D224E" w:rsidP="005D224E">
      <w:pPr>
        <w:spacing w:after="0" w:line="360" w:lineRule="auto"/>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где CVF –</w:t>
      </w:r>
      <w:r w:rsidRPr="00B717FF">
        <w:rPr>
          <w:rFonts w:ascii="Times New Roman" w:eastAsia="Times New Roman" w:hAnsi="Times New Roman" w:cs="Times New Roman"/>
          <w:sz w:val="28"/>
          <w:szCs w:val="28"/>
          <w:lang w:eastAsia="ru-RU"/>
        </w:rPr>
        <w:t xml:space="preserve"> окончательная величина таможенной стоимости товаров; </w:t>
      </w:r>
    </w:p>
    <w:p w14:paraId="5B192938" w14:textId="77777777" w:rsidR="005D224E" w:rsidRPr="00B717FF" w:rsidRDefault="005D224E" w:rsidP="005D224E">
      <w:pPr>
        <w:spacing w:after="0" w:line="360" w:lineRule="auto"/>
        <w:ind w:firstLine="709"/>
        <w:jc w:val="both"/>
        <w:rPr>
          <w:rFonts w:ascii="Times New Roman" w:eastAsia="Times New Roman" w:hAnsi="Times New Roman" w:cs="Times New Roman"/>
          <w:sz w:val="28"/>
          <w:szCs w:val="28"/>
          <w:lang w:eastAsia="ru-RU"/>
        </w:rPr>
      </w:pPr>
      <w:proofErr w:type="spellStart"/>
      <w:r>
        <w:rPr>
          <w:rFonts w:ascii="Times New Roman" w:eastAsia="Times New Roman" w:hAnsi="Times New Roman" w:cs="Times New Roman"/>
          <w:sz w:val="28"/>
          <w:szCs w:val="28"/>
          <w:lang w:eastAsia="ru-RU"/>
        </w:rPr>
        <w:t>CVp</w:t>
      </w:r>
      <w:proofErr w:type="spellEnd"/>
      <w:r>
        <w:rPr>
          <w:rFonts w:ascii="Times New Roman" w:eastAsia="Times New Roman" w:hAnsi="Times New Roman" w:cs="Times New Roman"/>
          <w:sz w:val="28"/>
          <w:szCs w:val="28"/>
          <w:lang w:eastAsia="ru-RU"/>
        </w:rPr>
        <w:t xml:space="preserve"> –</w:t>
      </w:r>
      <w:r w:rsidRPr="00B717FF">
        <w:rPr>
          <w:rFonts w:ascii="Times New Roman" w:eastAsia="Times New Roman" w:hAnsi="Times New Roman" w:cs="Times New Roman"/>
          <w:sz w:val="28"/>
          <w:szCs w:val="28"/>
          <w:lang w:eastAsia="ru-RU"/>
        </w:rPr>
        <w:t xml:space="preserve"> предварительная величина таможенной стоимости товаров; </w:t>
      </w:r>
    </w:p>
    <w:p w14:paraId="6F4F3131"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A –</w:t>
      </w:r>
      <w:r w:rsidRPr="00B717FF">
        <w:rPr>
          <w:rFonts w:ascii="Times New Roman" w:eastAsia="Times New Roman" w:hAnsi="Times New Roman" w:cs="Times New Roman"/>
          <w:sz w:val="28"/>
          <w:szCs w:val="28"/>
          <w:lang w:eastAsia="ru-RU"/>
        </w:rPr>
        <w:t xml:space="preserve"> корректировка цены, фактически уплаченной или подлежащей уплате за ввозимые товары, исходя из средневзвешенных издержек производства и средневзвешенных торговых, административных и общих издержек, ранее неизвестных декларанту на момент таможенного декларирования товара. </w:t>
      </w:r>
    </w:p>
    <w:p w14:paraId="4C1F1B90"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Таможенным законодательством установлен </w:t>
      </w:r>
      <w:proofErr w:type="gramStart"/>
      <w:r>
        <w:rPr>
          <w:rFonts w:ascii="Times New Roman" w:eastAsia="Times New Roman" w:hAnsi="Times New Roman" w:cs="Times New Roman"/>
          <w:sz w:val="28"/>
          <w:szCs w:val="28"/>
          <w:lang w:eastAsia="ru-RU"/>
        </w:rPr>
        <w:t>срок</w:t>
      </w:r>
      <w:proofErr w:type="gramEnd"/>
      <w:r>
        <w:rPr>
          <w:rFonts w:ascii="Times New Roman" w:eastAsia="Times New Roman" w:hAnsi="Times New Roman" w:cs="Times New Roman"/>
          <w:sz w:val="28"/>
          <w:szCs w:val="28"/>
          <w:lang w:eastAsia="ru-RU"/>
        </w:rPr>
        <w:t xml:space="preserve"> за который декларанту необходимо представить в таможенный орган ДТС-1 с расчетом окончательной величины таможенной стоимости вместе с документами, которые подтверждают такую таможенную стоимость. Такой срок составляет пятнадцать месяцев.</w:t>
      </w:r>
    </w:p>
    <w:p w14:paraId="60713967"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применении процедуры отложенного определения таможенной стоимости с использованием метода по стоимости сделки с ввозимыми товарами необходимо учитывать следующую особенность:</w:t>
      </w:r>
      <w:r w:rsidRPr="00BE1682">
        <w:rPr>
          <w:rFonts w:ascii="Times New Roman" w:eastAsia="Times New Roman" w:hAnsi="Times New Roman" w:cs="Times New Roman"/>
          <w:sz w:val="28"/>
          <w:szCs w:val="28"/>
          <w:lang w:eastAsia="ru-RU"/>
        </w:rPr>
        <w:t xml:space="preserve"> </w:t>
      </w:r>
      <w:r>
        <w:rPr>
          <w:rFonts w:ascii="Times New Roman" w:eastAsia="Times New Roman" w:hAnsi="Times New Roman" w:cs="Times New Roman"/>
          <w:sz w:val="28"/>
          <w:szCs w:val="28"/>
          <w:lang w:eastAsia="ru-RU"/>
        </w:rPr>
        <w:t>определение окончательной величины таможенной стоимости по методу 1 происходит с применением в ходе оценочной деятельности «биржевой триады»: биржевого товара, биржевой сделки и биржевой цены.</w:t>
      </w:r>
    </w:p>
    <w:p w14:paraId="72B4194E" w14:textId="77777777" w:rsidR="005D224E" w:rsidRPr="00BE1682" w:rsidRDefault="005D224E" w:rsidP="005D224E">
      <w:pPr>
        <w:spacing w:after="0" w:line="360" w:lineRule="auto"/>
        <w:ind w:firstLine="709"/>
        <w:jc w:val="both"/>
        <w:rPr>
          <w:rFonts w:eastAsia="Times New Roman"/>
          <w:sz w:val="28"/>
          <w:szCs w:val="28"/>
          <w:lang w:eastAsia="ru-RU"/>
        </w:rPr>
      </w:pPr>
      <w:r>
        <w:rPr>
          <w:rFonts w:eastAsia="Times New Roman"/>
          <w:noProof/>
          <w:sz w:val="28"/>
          <w:szCs w:val="28"/>
          <w:lang w:eastAsia="ru-RU"/>
        </w:rPr>
        <w:lastRenderedPageBreak/>
        <w:drawing>
          <wp:inline distT="0" distB="0" distL="0" distR="0" wp14:anchorId="3D6EC284" wp14:editId="5D291C64">
            <wp:extent cx="5486400" cy="3200400"/>
            <wp:effectExtent l="0" t="0" r="0" b="19050"/>
            <wp:docPr id="8" name="Схема 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4" r:lo="rId45" r:qs="rId46" r:cs="rId47"/>
              </a:graphicData>
            </a:graphic>
          </wp:inline>
        </w:drawing>
      </w:r>
    </w:p>
    <w:p w14:paraId="023BACF7" w14:textId="08BE8164" w:rsidR="005D224E" w:rsidRPr="00110725" w:rsidRDefault="005D224E" w:rsidP="005D224E">
      <w:pPr>
        <w:spacing w:after="0" w:line="240" w:lineRule="auto"/>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Рис. </w:t>
      </w:r>
      <w:r w:rsidR="00661E7C">
        <w:rPr>
          <w:rFonts w:ascii="Times New Roman" w:eastAsia="Times New Roman" w:hAnsi="Times New Roman" w:cs="Times New Roman"/>
          <w:sz w:val="28"/>
          <w:szCs w:val="28"/>
          <w:lang w:eastAsia="ru-RU"/>
        </w:rPr>
        <w:t>16</w:t>
      </w:r>
      <w:r>
        <w:rPr>
          <w:rFonts w:ascii="Times New Roman" w:eastAsia="Times New Roman" w:hAnsi="Times New Roman" w:cs="Times New Roman"/>
          <w:sz w:val="28"/>
          <w:szCs w:val="28"/>
          <w:lang w:eastAsia="ru-RU"/>
        </w:rPr>
        <w:t xml:space="preserve"> </w:t>
      </w:r>
      <w:r w:rsidRPr="00110725">
        <w:rPr>
          <w:rFonts w:ascii="Times New Roman" w:eastAsia="Times New Roman" w:hAnsi="Times New Roman" w:cs="Times New Roman"/>
          <w:sz w:val="28"/>
          <w:szCs w:val="28"/>
          <w:lang w:eastAsia="ru-RU"/>
        </w:rPr>
        <w:t xml:space="preserve">Инструменты процедуры отложенного определения таможенной </w:t>
      </w:r>
    </w:p>
    <w:p w14:paraId="46673B4C" w14:textId="77777777" w:rsidR="005D224E" w:rsidRPr="00110725" w:rsidRDefault="005D224E" w:rsidP="005D224E">
      <w:pPr>
        <w:spacing w:after="0" w:line="240" w:lineRule="auto"/>
        <w:jc w:val="center"/>
        <w:rPr>
          <w:rFonts w:ascii="Times New Roman" w:eastAsia="Times New Roman" w:hAnsi="Times New Roman" w:cs="Times New Roman"/>
          <w:sz w:val="28"/>
          <w:szCs w:val="28"/>
          <w:lang w:eastAsia="ru-RU"/>
        </w:rPr>
      </w:pPr>
      <w:r w:rsidRPr="00110725">
        <w:rPr>
          <w:rFonts w:ascii="Times New Roman" w:eastAsia="Times New Roman" w:hAnsi="Times New Roman" w:cs="Times New Roman"/>
          <w:sz w:val="28"/>
          <w:szCs w:val="28"/>
          <w:lang w:eastAsia="ru-RU"/>
        </w:rPr>
        <w:t xml:space="preserve">стоимости товаров при формировании цены в ходе торгов </w:t>
      </w:r>
    </w:p>
    <w:p w14:paraId="015ABBF7" w14:textId="77777777" w:rsidR="005D224E" w:rsidRDefault="005D224E" w:rsidP="005D224E">
      <w:pPr>
        <w:spacing w:after="0" w:line="240" w:lineRule="auto"/>
        <w:jc w:val="center"/>
        <w:rPr>
          <w:rFonts w:ascii="Times New Roman" w:eastAsia="Times New Roman" w:hAnsi="Times New Roman" w:cs="Times New Roman"/>
          <w:sz w:val="28"/>
          <w:szCs w:val="28"/>
          <w:lang w:eastAsia="ru-RU"/>
        </w:rPr>
      </w:pPr>
      <w:r w:rsidRPr="00110725">
        <w:rPr>
          <w:rFonts w:ascii="Times New Roman" w:eastAsia="Times New Roman" w:hAnsi="Times New Roman" w:cs="Times New Roman"/>
          <w:sz w:val="28"/>
          <w:szCs w:val="28"/>
          <w:lang w:eastAsia="ru-RU"/>
        </w:rPr>
        <w:t>на мировых биржах</w:t>
      </w:r>
    </w:p>
    <w:p w14:paraId="10E9A5AF" w14:textId="77777777" w:rsidR="005D224E" w:rsidRDefault="005D224E" w:rsidP="005D224E">
      <w:pPr>
        <w:spacing w:after="0" w:line="240" w:lineRule="auto"/>
        <w:jc w:val="center"/>
        <w:rPr>
          <w:rFonts w:ascii="Times New Roman" w:eastAsia="Times New Roman" w:hAnsi="Times New Roman" w:cs="Times New Roman"/>
          <w:sz w:val="28"/>
          <w:szCs w:val="28"/>
          <w:lang w:eastAsia="ru-RU"/>
        </w:rPr>
      </w:pPr>
    </w:p>
    <w:p w14:paraId="6E85F1D4"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База процедуры отложенного определения таможенной стоимости с применением метода 1 устанавливается на мировой товарной бирже. Мировая товарная биржа – корпорация, у которой права юридического лица и которая формирует оптовый рынок с помощью биржевой торговли.</w:t>
      </w:r>
    </w:p>
    <w:p w14:paraId="239B53C2"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При проведении таможенного контроля окончательной величины таможенной стоимости товаров происходит проверка таможенным органом следующих аспектов:</w:t>
      </w:r>
    </w:p>
    <w:p w14:paraId="18E8ED68"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корректность расчетов, которые содержатся в ДТС-1;</w:t>
      </w:r>
    </w:p>
    <w:p w14:paraId="3AE85D8A"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документальной подтверждение сведений, которые использовались для расчета окончательной величины таможенной стоимости товаров;</w:t>
      </w:r>
    </w:p>
    <w:p w14:paraId="7F5937CB"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корректность заполнения формы корректировки декларации на товары (далее – КДТ).</w:t>
      </w:r>
    </w:p>
    <w:p w14:paraId="1CBE5D96"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После таможенного контроля точной стоимости товаров в срок не позднее трех рабочих дней со дня заявления такой цены, таможенный орган производит регистрацию КДТ и принимает решение о </w:t>
      </w:r>
      <w:r w:rsidRPr="00273691">
        <w:rPr>
          <w:rFonts w:ascii="Times New Roman" w:eastAsia="Times New Roman" w:hAnsi="Times New Roman" w:cs="Times New Roman"/>
          <w:sz w:val="28"/>
          <w:szCs w:val="28"/>
          <w:lang w:eastAsia="ru-RU"/>
        </w:rPr>
        <w:t xml:space="preserve">внесении изменений (дополнений) в </w:t>
      </w:r>
      <w:r w:rsidRPr="00273691">
        <w:rPr>
          <w:rFonts w:ascii="Times New Roman" w:eastAsia="Times New Roman" w:hAnsi="Times New Roman" w:cs="Times New Roman"/>
          <w:sz w:val="28"/>
          <w:szCs w:val="28"/>
          <w:lang w:eastAsia="ru-RU"/>
        </w:rPr>
        <w:lastRenderedPageBreak/>
        <w:t>сведения</w:t>
      </w:r>
      <w:r>
        <w:rPr>
          <w:rFonts w:ascii="Times New Roman" w:eastAsia="Times New Roman" w:hAnsi="Times New Roman" w:cs="Times New Roman"/>
          <w:sz w:val="28"/>
          <w:szCs w:val="28"/>
          <w:lang w:eastAsia="ru-RU"/>
        </w:rPr>
        <w:t xml:space="preserve"> о таможенной стоимости товаров. Данные действия осуществляются только в том случае, если </w:t>
      </w:r>
      <w:r w:rsidRPr="00273691">
        <w:rPr>
          <w:rFonts w:ascii="Times New Roman" w:eastAsia="Times New Roman" w:hAnsi="Times New Roman" w:cs="Times New Roman"/>
          <w:sz w:val="28"/>
          <w:szCs w:val="28"/>
          <w:lang w:eastAsia="ru-RU"/>
        </w:rPr>
        <w:t>таможенным органом не обнаружено, что сведения об окончательной величине таможенной стоимости товаров являются недостоверными</w:t>
      </w:r>
      <w:r>
        <w:rPr>
          <w:rFonts w:ascii="Times New Roman" w:eastAsia="Times New Roman" w:hAnsi="Times New Roman" w:cs="Times New Roman"/>
          <w:sz w:val="28"/>
          <w:szCs w:val="28"/>
          <w:lang w:eastAsia="ru-RU"/>
        </w:rPr>
        <w:t>.</w:t>
      </w:r>
    </w:p>
    <w:p w14:paraId="4E18FA44" w14:textId="65246090"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Если по истечении пятнадцати месяцев со дня регистрации ДТ окончательная величина таможенной стоимости не была заявлена или не была представлены документы, которые подтверждают правильность ее определения, то заявленная первоначальная таможенная стоимость товаров будет считаться определенной по методу 1 без использования процедуры отложенного определения таможенной стоимости товаров.  При данных обстоятельствах будет производиться стандартная процедура таможенного контроля таможенной стоимости товаров</w:t>
      </w:r>
      <w:r w:rsidR="00E04267">
        <w:rPr>
          <w:rStyle w:val="ad"/>
          <w:rFonts w:ascii="Times New Roman" w:eastAsia="Times New Roman" w:hAnsi="Times New Roman" w:cs="Times New Roman"/>
          <w:sz w:val="28"/>
          <w:szCs w:val="28"/>
          <w:lang w:eastAsia="ru-RU"/>
        </w:rPr>
        <w:footnoteReference w:id="17"/>
      </w:r>
      <w:r w:rsidRPr="00F53540">
        <w:rPr>
          <w:rFonts w:ascii="Times New Roman" w:eastAsia="Times New Roman" w:hAnsi="Times New Roman" w:cs="Times New Roman"/>
          <w:sz w:val="28"/>
          <w:szCs w:val="28"/>
          <w:lang w:eastAsia="ru-RU"/>
        </w:rPr>
        <w:t>.</w:t>
      </w:r>
    </w:p>
    <w:p w14:paraId="2F45D414"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На данный момент порядок отложенного определения таможенной стоимости несмотря на свои преимущества используется довольно редко. Так за 2021 год всего 48 из 572 тысяч деклараций были заявлены с данным порядком определения таможенной стоимости. Это связано с тем, что участники ВЭД не всегда понимают, когда может быть применен данный порядок. Также причиной являются временные издержки, которые возникают, когда участник ВЭД рассчитывал на большую сумму лицензионных платежей для уплаты, но в ходе реализации сумма таких платежей оказалась меньше. В таком случае уплаченные денежные средства будут возвращены, однако это займет некоторое время.</w:t>
      </w:r>
    </w:p>
    <w:p w14:paraId="24E5C0C9"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Таким образом, процедура отложенного определения таможенной стоимости дает возможность декларанту отложить срок определения точной таможенной стоимости. Данный порядок применим, когда на момент регистрации декларации на товары отсутствуют документы, которые необходимы для корректного определения таможенной стоимости. Данная </w:t>
      </w:r>
      <w:r>
        <w:rPr>
          <w:rFonts w:ascii="Times New Roman" w:eastAsia="Times New Roman" w:hAnsi="Times New Roman" w:cs="Times New Roman"/>
          <w:sz w:val="28"/>
          <w:szCs w:val="28"/>
          <w:lang w:eastAsia="ru-RU"/>
        </w:rPr>
        <w:lastRenderedPageBreak/>
        <w:t>процедура разделена на два этапа: на первом (до выпуска товаров) заявляется предварительная (первоначальная) величина таможенной стоимости товаров, а на втором (после выпуска товаров) декларант заявляет окончательную (точную) таможенную стоимость товаров.</w:t>
      </w:r>
    </w:p>
    <w:p w14:paraId="1D21975E" w14:textId="77777777" w:rsidR="005D224E" w:rsidRDefault="005D224E" w:rsidP="005D224E">
      <w:pPr>
        <w:spacing w:after="0" w:line="360" w:lineRule="auto"/>
        <w:ind w:firstLine="709"/>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 </w:t>
      </w:r>
    </w:p>
    <w:p w14:paraId="2CB8BB67" w14:textId="77777777" w:rsidR="005D224E" w:rsidRPr="00C23AA1" w:rsidRDefault="005D224E" w:rsidP="005D224E">
      <w:pPr>
        <w:pStyle w:val="a3"/>
        <w:suppressAutoHyphens/>
        <w:spacing w:before="0" w:line="240" w:lineRule="auto"/>
        <w:jc w:val="center"/>
        <w:rPr>
          <w:color w:val="auto"/>
        </w:rPr>
      </w:pPr>
      <w:bookmarkStart w:id="26" w:name="_Toc152675676"/>
      <w:r w:rsidRPr="00C23AA1">
        <w:rPr>
          <w:color w:val="auto"/>
        </w:rPr>
        <w:t>2.4. Анализ практики разрешени</w:t>
      </w:r>
      <w:r>
        <w:rPr>
          <w:color w:val="auto"/>
        </w:rPr>
        <w:t xml:space="preserve">я споров по вопросам таможенной </w:t>
      </w:r>
      <w:r w:rsidRPr="00C23AA1">
        <w:rPr>
          <w:color w:val="auto"/>
        </w:rPr>
        <w:t>стоимости</w:t>
      </w:r>
      <w:r>
        <w:rPr>
          <w:color w:val="auto"/>
        </w:rPr>
        <w:t xml:space="preserve"> на примере Шереметьевской таможни</w:t>
      </w:r>
      <w:bookmarkEnd w:id="26"/>
    </w:p>
    <w:p w14:paraId="45FA387B" w14:textId="77777777" w:rsidR="005D224E" w:rsidRPr="00E5220C" w:rsidRDefault="005D224E" w:rsidP="005D224E">
      <w:pPr>
        <w:spacing w:after="0" w:line="360" w:lineRule="auto"/>
        <w:rPr>
          <w:rFonts w:ascii="Times New Roman" w:hAnsi="Times New Roman" w:cs="Times New Roman"/>
          <w:sz w:val="28"/>
          <w:szCs w:val="28"/>
        </w:rPr>
      </w:pPr>
    </w:p>
    <w:p w14:paraId="2B55AD43" w14:textId="77777777" w:rsidR="005D224E"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noProof/>
          <w:sz w:val="28"/>
          <w:szCs w:val="28"/>
          <w:lang w:eastAsia="ru-RU"/>
        </w:rPr>
        <w:drawing>
          <wp:anchor distT="0" distB="0" distL="114300" distR="114300" simplePos="0" relativeHeight="251668480" behindDoc="0" locked="0" layoutInCell="1" allowOverlap="1" wp14:anchorId="0D330B63" wp14:editId="73CD2B5B">
            <wp:simplePos x="0" y="0"/>
            <wp:positionH relativeFrom="margin">
              <wp:posOffset>233045</wp:posOffset>
            </wp:positionH>
            <wp:positionV relativeFrom="paragraph">
              <wp:posOffset>1259840</wp:posOffset>
            </wp:positionV>
            <wp:extent cx="5848350" cy="4295775"/>
            <wp:effectExtent l="0" t="0" r="0" b="9525"/>
            <wp:wrapTopAndBottom/>
            <wp:docPr id="2" name="Диаграмма 2"/>
            <wp:cNvGraphicFramePr/>
            <a:graphic xmlns:a="http://schemas.openxmlformats.org/drawingml/2006/main">
              <a:graphicData uri="http://schemas.openxmlformats.org/drawingml/2006/chart">
                <c:chart xmlns:c="http://schemas.openxmlformats.org/drawingml/2006/chart" xmlns:r="http://schemas.openxmlformats.org/officeDocument/2006/relationships" r:id="rId49"/>
              </a:graphicData>
            </a:graphic>
            <wp14:sizeRelH relativeFrom="margin">
              <wp14:pctWidth>0</wp14:pctWidth>
            </wp14:sizeRelH>
            <wp14:sizeRelV relativeFrom="margin">
              <wp14:pctHeight>0</wp14:pctHeight>
            </wp14:sizeRelV>
          </wp:anchor>
        </w:drawing>
      </w:r>
      <w:r w:rsidRPr="00E03247">
        <w:rPr>
          <w:rFonts w:ascii="Times New Roman" w:hAnsi="Times New Roman" w:cs="Times New Roman"/>
          <w:sz w:val="28"/>
          <w:szCs w:val="28"/>
          <w:shd w:val="clear" w:color="auto" w:fill="FFFFFF"/>
        </w:rPr>
        <w:t xml:space="preserve">Верность результатов определения таможенной стоимости товаров – предмет частых споров между таможенными органами и участниками внешнеэкономической деятельности. Такие споры заканчиваются </w:t>
      </w:r>
      <w:r w:rsidRPr="00E03247">
        <w:rPr>
          <w:rFonts w:ascii="Times New Roman" w:hAnsi="Times New Roman" w:cs="Times New Roman"/>
          <w:sz w:val="28"/>
          <w:szCs w:val="28"/>
        </w:rPr>
        <w:t xml:space="preserve">которые процедурой обжалования или судебным решением. </w:t>
      </w:r>
    </w:p>
    <w:p w14:paraId="10E4B05F" w14:textId="7B31F37A" w:rsidR="005D224E" w:rsidRPr="00191E72" w:rsidRDefault="005D224E" w:rsidP="005D224E">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 xml:space="preserve">Рис. </w:t>
      </w:r>
      <w:r w:rsidR="00661E7C">
        <w:rPr>
          <w:rFonts w:ascii="Times New Roman" w:hAnsi="Times New Roman" w:cs="Times New Roman"/>
          <w:sz w:val="28"/>
          <w:szCs w:val="28"/>
        </w:rPr>
        <w:t>17</w:t>
      </w:r>
      <w:r w:rsidRPr="00191E72">
        <w:rPr>
          <w:rFonts w:ascii="Times New Roman" w:hAnsi="Times New Roman" w:cs="Times New Roman"/>
          <w:sz w:val="28"/>
          <w:szCs w:val="28"/>
        </w:rPr>
        <w:t xml:space="preserve"> Основные категории решений таможенных органов, обжалованных в судебном порядке в 202</w:t>
      </w:r>
      <w:r w:rsidR="008E4CB7">
        <w:rPr>
          <w:rFonts w:ascii="Times New Roman" w:hAnsi="Times New Roman" w:cs="Times New Roman"/>
          <w:sz w:val="28"/>
          <w:szCs w:val="28"/>
        </w:rPr>
        <w:t>1</w:t>
      </w:r>
      <w:r w:rsidRPr="00191E72">
        <w:rPr>
          <w:rFonts w:ascii="Times New Roman" w:hAnsi="Times New Roman" w:cs="Times New Roman"/>
          <w:sz w:val="28"/>
          <w:szCs w:val="28"/>
        </w:rPr>
        <w:t xml:space="preserve"> году.</w:t>
      </w:r>
      <w:r w:rsidRPr="00191E72">
        <w:rPr>
          <w:rStyle w:val="ad"/>
          <w:rFonts w:ascii="Times New Roman" w:hAnsi="Times New Roman" w:cs="Times New Roman"/>
          <w:sz w:val="28"/>
          <w:szCs w:val="28"/>
        </w:rPr>
        <w:footnoteReference w:id="18"/>
      </w:r>
    </w:p>
    <w:p w14:paraId="304ED580" w14:textId="631317D4" w:rsidR="005D224E" w:rsidRPr="00E03247"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noProof/>
          <w:sz w:val="28"/>
          <w:szCs w:val="28"/>
          <w:lang w:eastAsia="ru-RU"/>
        </w:rPr>
        <w:lastRenderedPageBreak/>
        <w:drawing>
          <wp:anchor distT="0" distB="0" distL="114300" distR="114300" simplePos="0" relativeHeight="251664384" behindDoc="0" locked="0" layoutInCell="1" allowOverlap="1" wp14:anchorId="4C64E030" wp14:editId="47ED23DB">
            <wp:simplePos x="0" y="0"/>
            <wp:positionH relativeFrom="margin">
              <wp:align>center</wp:align>
            </wp:positionH>
            <wp:positionV relativeFrom="paragraph">
              <wp:posOffset>1194435</wp:posOffset>
            </wp:positionV>
            <wp:extent cx="5658485" cy="5181600"/>
            <wp:effectExtent l="0" t="0" r="0" b="0"/>
            <wp:wrapTopAndBottom/>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не в пользу.PNG"/>
                    <pic:cNvPicPr/>
                  </pic:nvPicPr>
                  <pic:blipFill>
                    <a:blip r:embed="rId50">
                      <a:extLst>
                        <a:ext uri="{28A0092B-C50C-407E-A947-70E740481C1C}">
                          <a14:useLocalDpi xmlns:a14="http://schemas.microsoft.com/office/drawing/2010/main" val="0"/>
                        </a:ext>
                      </a:extLst>
                    </a:blip>
                    <a:stretch>
                      <a:fillRect/>
                    </a:stretch>
                  </pic:blipFill>
                  <pic:spPr>
                    <a:xfrm>
                      <a:off x="0" y="0"/>
                      <a:ext cx="5658644" cy="5181746"/>
                    </a:xfrm>
                    <a:prstGeom prst="rect">
                      <a:avLst/>
                    </a:prstGeom>
                  </pic:spPr>
                </pic:pic>
              </a:graphicData>
            </a:graphic>
            <wp14:sizeRelV relativeFrom="margin">
              <wp14:pctHeight>0</wp14:pctHeight>
            </wp14:sizeRelV>
          </wp:anchor>
        </w:drawing>
      </w:r>
      <w:r>
        <w:rPr>
          <w:rFonts w:ascii="Times New Roman" w:hAnsi="Times New Roman" w:cs="Times New Roman"/>
          <w:sz w:val="28"/>
          <w:szCs w:val="28"/>
        </w:rPr>
        <w:t xml:space="preserve">Исходя из данных рис. </w:t>
      </w:r>
      <w:r w:rsidR="00661E7C">
        <w:rPr>
          <w:rFonts w:ascii="Times New Roman" w:hAnsi="Times New Roman" w:cs="Times New Roman"/>
          <w:sz w:val="28"/>
          <w:szCs w:val="28"/>
        </w:rPr>
        <w:t>17</w:t>
      </w:r>
      <w:r w:rsidRPr="00E03247">
        <w:rPr>
          <w:rFonts w:ascii="Times New Roman" w:hAnsi="Times New Roman" w:cs="Times New Roman"/>
          <w:sz w:val="28"/>
          <w:szCs w:val="28"/>
        </w:rPr>
        <w:t xml:space="preserve"> видно, что споры, связанные с определением </w:t>
      </w:r>
      <w:proofErr w:type="gramStart"/>
      <w:r w:rsidRPr="00E03247">
        <w:rPr>
          <w:rFonts w:ascii="Times New Roman" w:hAnsi="Times New Roman" w:cs="Times New Roman"/>
          <w:sz w:val="28"/>
          <w:szCs w:val="28"/>
        </w:rPr>
        <w:t>таможенной стоимости</w:t>
      </w:r>
      <w:proofErr w:type="gramEnd"/>
      <w:r w:rsidRPr="00E03247">
        <w:rPr>
          <w:rFonts w:ascii="Times New Roman" w:hAnsi="Times New Roman" w:cs="Times New Roman"/>
          <w:sz w:val="28"/>
          <w:szCs w:val="28"/>
        </w:rPr>
        <w:t xml:space="preserve"> возникают чаще, чем по остальным категориям. Их дол</w:t>
      </w:r>
      <w:r>
        <w:rPr>
          <w:rFonts w:ascii="Times New Roman" w:hAnsi="Times New Roman" w:cs="Times New Roman"/>
          <w:sz w:val="28"/>
          <w:szCs w:val="28"/>
        </w:rPr>
        <w:t>я от общей категории занимает 20,6</w:t>
      </w:r>
      <w:r w:rsidRPr="00E03247">
        <w:rPr>
          <w:rFonts w:ascii="Times New Roman" w:hAnsi="Times New Roman" w:cs="Times New Roman"/>
          <w:sz w:val="28"/>
          <w:szCs w:val="28"/>
        </w:rPr>
        <w:t xml:space="preserve"> %. Они занимают второе место после оспаривания дел, связанных с административной ответственностью. </w:t>
      </w:r>
    </w:p>
    <w:p w14:paraId="3F614AD3" w14:textId="3889E539" w:rsidR="005D224E" w:rsidRDefault="005D224E" w:rsidP="005D224E">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Рис. </w:t>
      </w:r>
      <w:r w:rsidR="00661E7C">
        <w:rPr>
          <w:rFonts w:ascii="Times New Roman" w:hAnsi="Times New Roman" w:cs="Times New Roman"/>
          <w:sz w:val="28"/>
          <w:szCs w:val="28"/>
        </w:rPr>
        <w:t>18</w:t>
      </w:r>
      <w:r>
        <w:rPr>
          <w:rFonts w:ascii="Times New Roman" w:hAnsi="Times New Roman" w:cs="Times New Roman"/>
          <w:sz w:val="28"/>
          <w:szCs w:val="28"/>
        </w:rPr>
        <w:t xml:space="preserve"> Количество судебных дел, рассмотренных не в пользу таможенных органов, по отношению к общему количеству рассмотренных судебных дел в 202</w:t>
      </w:r>
      <w:r w:rsidR="008E4CB7">
        <w:rPr>
          <w:rFonts w:ascii="Times New Roman" w:hAnsi="Times New Roman" w:cs="Times New Roman"/>
          <w:sz w:val="28"/>
          <w:szCs w:val="28"/>
        </w:rPr>
        <w:t>1</w:t>
      </w:r>
      <w:r>
        <w:rPr>
          <w:rFonts w:ascii="Times New Roman" w:hAnsi="Times New Roman" w:cs="Times New Roman"/>
          <w:sz w:val="28"/>
          <w:szCs w:val="28"/>
        </w:rPr>
        <w:t xml:space="preserve"> году</w:t>
      </w:r>
    </w:p>
    <w:p w14:paraId="12806728" w14:textId="77777777" w:rsidR="005D224E" w:rsidRPr="00E03247" w:rsidRDefault="005D224E" w:rsidP="005D224E">
      <w:pPr>
        <w:spacing w:after="0" w:line="240" w:lineRule="auto"/>
        <w:jc w:val="center"/>
        <w:rPr>
          <w:rFonts w:ascii="Times New Roman" w:hAnsi="Times New Roman" w:cs="Times New Roman"/>
          <w:sz w:val="28"/>
          <w:szCs w:val="28"/>
        </w:rPr>
      </w:pPr>
    </w:p>
    <w:p w14:paraId="63022F96" w14:textId="77BC512C" w:rsidR="005D224E"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Как видно на рисунке </w:t>
      </w:r>
      <w:r w:rsidR="00C8705A">
        <w:rPr>
          <w:rFonts w:ascii="Times New Roman" w:hAnsi="Times New Roman" w:cs="Times New Roman"/>
          <w:color w:val="000000"/>
          <w:sz w:val="28"/>
          <w:szCs w:val="28"/>
        </w:rPr>
        <w:t>18 в</w:t>
      </w:r>
      <w:r>
        <w:rPr>
          <w:rFonts w:ascii="Times New Roman" w:hAnsi="Times New Roman" w:cs="Times New Roman"/>
          <w:color w:val="000000"/>
          <w:sz w:val="28"/>
          <w:szCs w:val="28"/>
        </w:rPr>
        <w:t xml:space="preserve"> 202</w:t>
      </w:r>
      <w:r w:rsidR="008E4CB7">
        <w:rPr>
          <w:rFonts w:ascii="Times New Roman" w:hAnsi="Times New Roman" w:cs="Times New Roman"/>
          <w:color w:val="000000"/>
          <w:sz w:val="28"/>
          <w:szCs w:val="28"/>
        </w:rPr>
        <w:t>1</w:t>
      </w:r>
      <w:r>
        <w:rPr>
          <w:rFonts w:ascii="Times New Roman" w:hAnsi="Times New Roman" w:cs="Times New Roman"/>
          <w:color w:val="000000"/>
          <w:sz w:val="28"/>
          <w:szCs w:val="28"/>
        </w:rPr>
        <w:t xml:space="preserve"> году 98 дел из 201 были приняты не пользу Шереметьевской таможни. Из этих 98 отмененных судебных решений 11 касались таможенной стоимости.</w:t>
      </w:r>
    </w:p>
    <w:p w14:paraId="13FBBE58" w14:textId="3BC1E88C" w:rsidR="009F79C6" w:rsidRDefault="005D224E" w:rsidP="009F79C6">
      <w:pPr>
        <w:spacing w:after="0" w:line="360" w:lineRule="auto"/>
        <w:ind w:firstLine="709"/>
        <w:jc w:val="both"/>
        <w:rPr>
          <w:rFonts w:ascii="Times New Roman" w:hAnsi="Times New Roman" w:cs="Times New Roman"/>
          <w:color w:val="000000"/>
          <w:sz w:val="28"/>
          <w:szCs w:val="28"/>
        </w:rPr>
      </w:pPr>
      <w:r w:rsidRPr="00E03247">
        <w:rPr>
          <w:rFonts w:ascii="Times New Roman" w:hAnsi="Times New Roman" w:cs="Times New Roman"/>
          <w:color w:val="000000"/>
          <w:sz w:val="28"/>
          <w:szCs w:val="28"/>
        </w:rPr>
        <w:t xml:space="preserve">Рассмотрим судебную практику, связанно с </w:t>
      </w:r>
      <w:r>
        <w:rPr>
          <w:rFonts w:ascii="Times New Roman" w:hAnsi="Times New Roman" w:cs="Times New Roman"/>
          <w:color w:val="000000"/>
          <w:sz w:val="28"/>
          <w:szCs w:val="28"/>
        </w:rPr>
        <w:t>определением таможенной стоимости.</w:t>
      </w:r>
      <w:r w:rsidR="009F79C6">
        <w:rPr>
          <w:rFonts w:ascii="Times New Roman" w:hAnsi="Times New Roman" w:cs="Times New Roman"/>
          <w:color w:val="000000"/>
          <w:sz w:val="28"/>
          <w:szCs w:val="28"/>
        </w:rPr>
        <w:br w:type="page"/>
      </w:r>
    </w:p>
    <w:p w14:paraId="249C6255" w14:textId="65D0A6A1" w:rsidR="005D224E" w:rsidRDefault="005D224E" w:rsidP="005D224E">
      <w:pPr>
        <w:spacing w:after="0" w:line="360" w:lineRule="auto"/>
        <w:ind w:firstLine="709"/>
        <w:jc w:val="right"/>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 xml:space="preserve">Таблица </w:t>
      </w:r>
      <w:r w:rsidR="007560C7">
        <w:rPr>
          <w:rFonts w:ascii="Times New Roman" w:hAnsi="Times New Roman" w:cs="Times New Roman"/>
          <w:color w:val="000000"/>
          <w:sz w:val="28"/>
          <w:szCs w:val="28"/>
        </w:rPr>
        <w:t>6</w:t>
      </w:r>
      <w:r>
        <w:rPr>
          <w:rFonts w:ascii="Times New Roman" w:hAnsi="Times New Roman" w:cs="Times New Roman"/>
          <w:color w:val="000000"/>
          <w:sz w:val="28"/>
          <w:szCs w:val="28"/>
        </w:rPr>
        <w:t>.</w:t>
      </w:r>
    </w:p>
    <w:p w14:paraId="1E750EED" w14:textId="77777777" w:rsidR="005D224E" w:rsidRPr="004458F0" w:rsidRDefault="005D224E" w:rsidP="005D224E">
      <w:pPr>
        <w:spacing w:after="0" w:line="240" w:lineRule="auto"/>
        <w:jc w:val="center"/>
        <w:rPr>
          <w:rFonts w:ascii="Times New Roman" w:hAnsi="Times New Roman" w:cs="Times New Roman"/>
          <w:color w:val="000000"/>
          <w:sz w:val="28"/>
          <w:szCs w:val="28"/>
        </w:rPr>
      </w:pPr>
      <w:r w:rsidRPr="004458F0">
        <w:rPr>
          <w:rFonts w:ascii="Times New Roman" w:hAnsi="Times New Roman" w:cs="Times New Roman"/>
          <w:color w:val="000000"/>
          <w:sz w:val="28"/>
          <w:szCs w:val="28"/>
        </w:rPr>
        <w:t xml:space="preserve">Сравнение дел </w:t>
      </w:r>
      <w:r w:rsidRPr="004458F0">
        <w:rPr>
          <w:rFonts w:ascii="Times New Roman" w:hAnsi="Times New Roman" w:cs="Times New Roman"/>
          <w:bCs/>
          <w:sz w:val="28"/>
          <w:szCs w:val="28"/>
        </w:rPr>
        <w:t>№ А41-81776/2020 и № А41-17944/2021</w:t>
      </w:r>
    </w:p>
    <w:tbl>
      <w:tblPr>
        <w:tblStyle w:val="a8"/>
        <w:tblW w:w="0" w:type="auto"/>
        <w:tblLook w:val="04A0" w:firstRow="1" w:lastRow="0" w:firstColumn="1" w:lastColumn="0" w:noHBand="0" w:noVBand="1"/>
      </w:tblPr>
      <w:tblGrid>
        <w:gridCol w:w="1540"/>
        <w:gridCol w:w="4409"/>
        <w:gridCol w:w="3678"/>
      </w:tblGrid>
      <w:tr w:rsidR="005D224E" w:rsidRPr="00734B7B" w14:paraId="2A3FB193" w14:textId="77777777" w:rsidTr="008B1391">
        <w:tc>
          <w:tcPr>
            <w:tcW w:w="0" w:type="auto"/>
          </w:tcPr>
          <w:p w14:paraId="0BCA6ED8" w14:textId="77777777" w:rsidR="005D224E" w:rsidRPr="00734B7B" w:rsidRDefault="005D224E" w:rsidP="008B1391">
            <w:pPr>
              <w:rPr>
                <w:rFonts w:ascii="Times New Roman" w:hAnsi="Times New Roman" w:cs="Times New Roman"/>
                <w:sz w:val="23"/>
                <w:szCs w:val="23"/>
              </w:rPr>
            </w:pPr>
            <w:r w:rsidRPr="00734B7B">
              <w:rPr>
                <w:rFonts w:ascii="Times New Roman" w:hAnsi="Times New Roman" w:cs="Times New Roman"/>
                <w:sz w:val="23"/>
                <w:szCs w:val="23"/>
              </w:rPr>
              <w:t>Номер дела</w:t>
            </w:r>
          </w:p>
        </w:tc>
        <w:tc>
          <w:tcPr>
            <w:tcW w:w="4409" w:type="dxa"/>
          </w:tcPr>
          <w:p w14:paraId="700B18A7" w14:textId="77777777" w:rsidR="005D224E" w:rsidRPr="00734B7B" w:rsidRDefault="005D224E" w:rsidP="008B1391">
            <w:pPr>
              <w:jc w:val="center"/>
              <w:rPr>
                <w:rFonts w:ascii="Times New Roman" w:hAnsi="Times New Roman" w:cs="Times New Roman"/>
                <w:bCs/>
                <w:sz w:val="23"/>
                <w:szCs w:val="23"/>
              </w:rPr>
            </w:pPr>
            <w:r w:rsidRPr="00734B7B">
              <w:rPr>
                <w:rFonts w:ascii="Times New Roman" w:hAnsi="Times New Roman" w:cs="Times New Roman"/>
                <w:bCs/>
                <w:sz w:val="23"/>
                <w:szCs w:val="23"/>
              </w:rPr>
              <w:t>№ А41-81776/2020</w:t>
            </w:r>
          </w:p>
        </w:tc>
        <w:tc>
          <w:tcPr>
            <w:tcW w:w="3678" w:type="dxa"/>
          </w:tcPr>
          <w:p w14:paraId="74BDA3BE" w14:textId="77777777" w:rsidR="005D224E" w:rsidRPr="00734B7B" w:rsidRDefault="005D224E" w:rsidP="008B1391">
            <w:pPr>
              <w:jc w:val="center"/>
              <w:rPr>
                <w:rFonts w:ascii="Times New Roman" w:hAnsi="Times New Roman" w:cs="Times New Roman"/>
                <w:bCs/>
                <w:sz w:val="23"/>
                <w:szCs w:val="23"/>
              </w:rPr>
            </w:pPr>
            <w:r w:rsidRPr="00734B7B">
              <w:rPr>
                <w:rFonts w:ascii="Times New Roman" w:hAnsi="Times New Roman" w:cs="Times New Roman"/>
                <w:bCs/>
                <w:sz w:val="23"/>
                <w:szCs w:val="23"/>
              </w:rPr>
              <w:t>№ А41-17944/2021</w:t>
            </w:r>
          </w:p>
        </w:tc>
      </w:tr>
      <w:tr w:rsidR="005D224E" w:rsidRPr="00734B7B" w14:paraId="4D15F8E5" w14:textId="77777777" w:rsidTr="008B1391">
        <w:tc>
          <w:tcPr>
            <w:tcW w:w="0" w:type="auto"/>
          </w:tcPr>
          <w:p w14:paraId="688C307D" w14:textId="77777777" w:rsidR="005D224E" w:rsidRPr="00734B7B" w:rsidRDefault="005D224E" w:rsidP="008B1391">
            <w:pPr>
              <w:rPr>
                <w:rFonts w:ascii="Times New Roman" w:hAnsi="Times New Roman" w:cs="Times New Roman"/>
                <w:sz w:val="23"/>
                <w:szCs w:val="23"/>
              </w:rPr>
            </w:pPr>
            <w:r w:rsidRPr="00734B7B">
              <w:rPr>
                <w:rFonts w:ascii="Times New Roman" w:hAnsi="Times New Roman" w:cs="Times New Roman"/>
                <w:sz w:val="23"/>
                <w:szCs w:val="23"/>
              </w:rPr>
              <w:t>Истец</w:t>
            </w:r>
          </w:p>
        </w:tc>
        <w:tc>
          <w:tcPr>
            <w:tcW w:w="4409" w:type="dxa"/>
          </w:tcPr>
          <w:p w14:paraId="652D0E50" w14:textId="77777777" w:rsidR="005D224E" w:rsidRPr="00734B7B" w:rsidRDefault="005D224E" w:rsidP="008B1391">
            <w:pPr>
              <w:jc w:val="center"/>
              <w:rPr>
                <w:rFonts w:ascii="Times New Roman" w:hAnsi="Times New Roman" w:cs="Times New Roman"/>
                <w:sz w:val="23"/>
                <w:szCs w:val="23"/>
              </w:rPr>
            </w:pPr>
            <w:r w:rsidRPr="00734B7B">
              <w:rPr>
                <w:rFonts w:ascii="Times New Roman" w:hAnsi="Times New Roman" w:cs="Times New Roman"/>
                <w:color w:val="000000"/>
                <w:sz w:val="23"/>
                <w:szCs w:val="23"/>
                <w:shd w:val="clear" w:color="auto" w:fill="FFFFFF"/>
              </w:rPr>
              <w:t>ООО «Чайна Логист Ком»</w:t>
            </w:r>
          </w:p>
        </w:tc>
        <w:tc>
          <w:tcPr>
            <w:tcW w:w="3678" w:type="dxa"/>
          </w:tcPr>
          <w:p w14:paraId="0C8B0A47" w14:textId="77777777" w:rsidR="005D224E" w:rsidRPr="00734B7B" w:rsidRDefault="005D224E" w:rsidP="008B1391">
            <w:pPr>
              <w:jc w:val="center"/>
              <w:rPr>
                <w:rFonts w:ascii="Times New Roman" w:hAnsi="Times New Roman" w:cs="Times New Roman"/>
                <w:color w:val="000000"/>
                <w:sz w:val="23"/>
                <w:szCs w:val="23"/>
                <w:shd w:val="clear" w:color="auto" w:fill="FFFFFF"/>
              </w:rPr>
            </w:pPr>
            <w:r w:rsidRPr="00734B7B">
              <w:rPr>
                <w:rFonts w:ascii="Times New Roman" w:hAnsi="Times New Roman" w:cs="Times New Roman"/>
                <w:color w:val="000000"/>
                <w:sz w:val="23"/>
                <w:szCs w:val="23"/>
                <w:shd w:val="clear" w:color="auto" w:fill="FFFFFF"/>
              </w:rPr>
              <w:t>ООО «СМЛ»</w:t>
            </w:r>
          </w:p>
        </w:tc>
      </w:tr>
      <w:tr w:rsidR="005D224E" w:rsidRPr="00734B7B" w14:paraId="088B5E30" w14:textId="77777777" w:rsidTr="008B1391">
        <w:tc>
          <w:tcPr>
            <w:tcW w:w="0" w:type="auto"/>
          </w:tcPr>
          <w:p w14:paraId="5EFA3E62" w14:textId="77777777" w:rsidR="005D224E" w:rsidRPr="00734B7B" w:rsidRDefault="005D224E" w:rsidP="008B1391">
            <w:pPr>
              <w:rPr>
                <w:rFonts w:ascii="Times New Roman" w:hAnsi="Times New Roman" w:cs="Times New Roman"/>
                <w:sz w:val="23"/>
                <w:szCs w:val="23"/>
              </w:rPr>
            </w:pPr>
            <w:r w:rsidRPr="00734B7B">
              <w:rPr>
                <w:rFonts w:ascii="Times New Roman" w:hAnsi="Times New Roman" w:cs="Times New Roman"/>
                <w:sz w:val="23"/>
                <w:szCs w:val="23"/>
              </w:rPr>
              <w:t>Ответчик</w:t>
            </w:r>
          </w:p>
        </w:tc>
        <w:tc>
          <w:tcPr>
            <w:tcW w:w="4409" w:type="dxa"/>
          </w:tcPr>
          <w:p w14:paraId="41382399" w14:textId="77777777" w:rsidR="005D224E" w:rsidRPr="00734B7B" w:rsidRDefault="005D224E" w:rsidP="008B1391">
            <w:pPr>
              <w:jc w:val="center"/>
              <w:rPr>
                <w:rFonts w:ascii="Times New Roman" w:hAnsi="Times New Roman" w:cs="Times New Roman"/>
                <w:sz w:val="23"/>
                <w:szCs w:val="23"/>
              </w:rPr>
            </w:pPr>
            <w:r w:rsidRPr="00734B7B">
              <w:rPr>
                <w:rFonts w:ascii="Times New Roman" w:hAnsi="Times New Roman" w:cs="Times New Roman"/>
                <w:sz w:val="23"/>
                <w:szCs w:val="23"/>
              </w:rPr>
              <w:t>Шереметьевская таможня</w:t>
            </w:r>
          </w:p>
        </w:tc>
        <w:tc>
          <w:tcPr>
            <w:tcW w:w="3678" w:type="dxa"/>
          </w:tcPr>
          <w:p w14:paraId="21BA70F0" w14:textId="77777777" w:rsidR="005D224E" w:rsidRPr="00734B7B" w:rsidRDefault="005D224E" w:rsidP="008B1391">
            <w:pPr>
              <w:jc w:val="center"/>
              <w:rPr>
                <w:rFonts w:ascii="Times New Roman" w:hAnsi="Times New Roman" w:cs="Times New Roman"/>
                <w:sz w:val="23"/>
                <w:szCs w:val="23"/>
              </w:rPr>
            </w:pPr>
            <w:r w:rsidRPr="00734B7B">
              <w:rPr>
                <w:rFonts w:ascii="Times New Roman" w:hAnsi="Times New Roman" w:cs="Times New Roman"/>
                <w:sz w:val="23"/>
                <w:szCs w:val="23"/>
              </w:rPr>
              <w:t>Шереметьевская таможня</w:t>
            </w:r>
          </w:p>
        </w:tc>
      </w:tr>
      <w:tr w:rsidR="005D224E" w:rsidRPr="00734B7B" w14:paraId="7D5B43D4" w14:textId="77777777" w:rsidTr="008B1391">
        <w:tc>
          <w:tcPr>
            <w:tcW w:w="0" w:type="auto"/>
          </w:tcPr>
          <w:p w14:paraId="65A91759" w14:textId="77777777" w:rsidR="005D224E" w:rsidRPr="00734B7B" w:rsidRDefault="005D224E" w:rsidP="008B1391">
            <w:pPr>
              <w:rPr>
                <w:rFonts w:ascii="Times New Roman" w:hAnsi="Times New Roman" w:cs="Times New Roman"/>
                <w:sz w:val="23"/>
                <w:szCs w:val="23"/>
              </w:rPr>
            </w:pPr>
            <w:r w:rsidRPr="00734B7B">
              <w:rPr>
                <w:rFonts w:ascii="Times New Roman" w:hAnsi="Times New Roman" w:cs="Times New Roman"/>
                <w:sz w:val="23"/>
                <w:szCs w:val="23"/>
              </w:rPr>
              <w:t>Товар</w:t>
            </w:r>
          </w:p>
        </w:tc>
        <w:tc>
          <w:tcPr>
            <w:tcW w:w="4409" w:type="dxa"/>
          </w:tcPr>
          <w:p w14:paraId="22F1AF37" w14:textId="77777777" w:rsidR="005D224E" w:rsidRPr="00734B7B" w:rsidRDefault="005D224E" w:rsidP="008B1391">
            <w:pPr>
              <w:jc w:val="center"/>
              <w:rPr>
                <w:rFonts w:ascii="Times New Roman" w:hAnsi="Times New Roman" w:cs="Times New Roman"/>
                <w:sz w:val="23"/>
                <w:szCs w:val="23"/>
              </w:rPr>
            </w:pPr>
            <w:r w:rsidRPr="00734B7B">
              <w:rPr>
                <w:rFonts w:ascii="Times New Roman" w:hAnsi="Times New Roman" w:cs="Times New Roman"/>
                <w:sz w:val="23"/>
                <w:szCs w:val="23"/>
              </w:rPr>
              <w:t>Термометр бесконтактный электронный</w:t>
            </w:r>
          </w:p>
        </w:tc>
        <w:tc>
          <w:tcPr>
            <w:tcW w:w="3678" w:type="dxa"/>
          </w:tcPr>
          <w:p w14:paraId="2CDB8A74" w14:textId="77777777" w:rsidR="005D224E" w:rsidRPr="00734B7B" w:rsidRDefault="005D224E" w:rsidP="008B1391">
            <w:pPr>
              <w:jc w:val="center"/>
              <w:rPr>
                <w:rFonts w:ascii="Times New Roman" w:hAnsi="Times New Roman" w:cs="Times New Roman"/>
                <w:sz w:val="23"/>
                <w:szCs w:val="23"/>
              </w:rPr>
            </w:pPr>
            <w:r w:rsidRPr="00734B7B">
              <w:rPr>
                <w:rFonts w:ascii="Times New Roman" w:hAnsi="Times New Roman" w:cs="Times New Roman"/>
                <w:sz w:val="23"/>
                <w:szCs w:val="23"/>
              </w:rPr>
              <w:t>Термометр бесконтактный электронный</w:t>
            </w:r>
          </w:p>
        </w:tc>
      </w:tr>
      <w:tr w:rsidR="005D224E" w:rsidRPr="00734B7B" w14:paraId="649CD3BA" w14:textId="77777777" w:rsidTr="008B1391">
        <w:tc>
          <w:tcPr>
            <w:tcW w:w="0" w:type="auto"/>
          </w:tcPr>
          <w:p w14:paraId="314604FE" w14:textId="77777777" w:rsidR="005D224E" w:rsidRPr="00734B7B" w:rsidRDefault="005D224E" w:rsidP="008B1391">
            <w:pPr>
              <w:rPr>
                <w:rFonts w:ascii="Times New Roman" w:hAnsi="Times New Roman" w:cs="Times New Roman"/>
                <w:sz w:val="23"/>
                <w:szCs w:val="23"/>
              </w:rPr>
            </w:pPr>
            <w:r w:rsidRPr="00734B7B">
              <w:rPr>
                <w:rFonts w:ascii="Times New Roman" w:hAnsi="Times New Roman" w:cs="Times New Roman"/>
                <w:sz w:val="23"/>
                <w:szCs w:val="23"/>
              </w:rPr>
              <w:t>Условия поставки</w:t>
            </w:r>
          </w:p>
        </w:tc>
        <w:tc>
          <w:tcPr>
            <w:tcW w:w="4409" w:type="dxa"/>
          </w:tcPr>
          <w:p w14:paraId="663A4A2E" w14:textId="77777777" w:rsidR="005D224E" w:rsidRPr="00734B7B" w:rsidRDefault="005D224E" w:rsidP="008B1391">
            <w:pPr>
              <w:jc w:val="center"/>
              <w:rPr>
                <w:rFonts w:ascii="Times New Roman" w:hAnsi="Times New Roman" w:cs="Times New Roman"/>
                <w:sz w:val="23"/>
                <w:szCs w:val="23"/>
              </w:rPr>
            </w:pPr>
            <w:r w:rsidRPr="00734B7B">
              <w:rPr>
                <w:rFonts w:ascii="Times New Roman" w:hAnsi="Times New Roman" w:cs="Times New Roman"/>
                <w:sz w:val="23"/>
                <w:szCs w:val="23"/>
              </w:rPr>
              <w:t>СPТ-Москва</w:t>
            </w:r>
          </w:p>
        </w:tc>
        <w:tc>
          <w:tcPr>
            <w:tcW w:w="3678" w:type="dxa"/>
          </w:tcPr>
          <w:p w14:paraId="653CB29B" w14:textId="77777777" w:rsidR="005D224E" w:rsidRPr="00734B7B" w:rsidRDefault="005D224E" w:rsidP="008B1391">
            <w:pPr>
              <w:jc w:val="center"/>
              <w:rPr>
                <w:rFonts w:ascii="Times New Roman" w:hAnsi="Times New Roman" w:cs="Times New Roman"/>
                <w:sz w:val="23"/>
                <w:szCs w:val="23"/>
              </w:rPr>
            </w:pPr>
            <w:r w:rsidRPr="00734B7B">
              <w:rPr>
                <w:rFonts w:ascii="Times New Roman" w:hAnsi="Times New Roman" w:cs="Times New Roman"/>
                <w:sz w:val="23"/>
                <w:szCs w:val="23"/>
              </w:rPr>
              <w:t>СPТ-Москва</w:t>
            </w:r>
          </w:p>
        </w:tc>
      </w:tr>
      <w:tr w:rsidR="005D224E" w:rsidRPr="00734B7B" w14:paraId="3181FFDD" w14:textId="77777777" w:rsidTr="008B1391">
        <w:tc>
          <w:tcPr>
            <w:tcW w:w="0" w:type="auto"/>
          </w:tcPr>
          <w:p w14:paraId="6F73643A" w14:textId="77777777" w:rsidR="005D224E" w:rsidRPr="00734B7B" w:rsidRDefault="005D224E" w:rsidP="008B1391">
            <w:pPr>
              <w:rPr>
                <w:rFonts w:ascii="Times New Roman" w:hAnsi="Times New Roman" w:cs="Times New Roman"/>
                <w:sz w:val="23"/>
                <w:szCs w:val="23"/>
              </w:rPr>
            </w:pPr>
            <w:r w:rsidRPr="00734B7B">
              <w:rPr>
                <w:rFonts w:ascii="Times New Roman" w:hAnsi="Times New Roman" w:cs="Times New Roman"/>
                <w:sz w:val="23"/>
                <w:szCs w:val="23"/>
              </w:rPr>
              <w:t xml:space="preserve">Метод определения </w:t>
            </w:r>
          </w:p>
        </w:tc>
        <w:tc>
          <w:tcPr>
            <w:tcW w:w="4409" w:type="dxa"/>
          </w:tcPr>
          <w:p w14:paraId="38D90739" w14:textId="77777777" w:rsidR="005D224E" w:rsidRPr="00734B7B" w:rsidRDefault="005D224E" w:rsidP="008B1391">
            <w:pPr>
              <w:jc w:val="center"/>
              <w:rPr>
                <w:rFonts w:ascii="Times New Roman" w:hAnsi="Times New Roman" w:cs="Times New Roman"/>
                <w:sz w:val="23"/>
                <w:szCs w:val="23"/>
              </w:rPr>
            </w:pPr>
            <w:r w:rsidRPr="00734B7B">
              <w:rPr>
                <w:rFonts w:ascii="Times New Roman" w:hAnsi="Times New Roman" w:cs="Times New Roman"/>
                <w:sz w:val="23"/>
                <w:szCs w:val="23"/>
              </w:rPr>
              <w:t>Метод 1</w:t>
            </w:r>
          </w:p>
        </w:tc>
        <w:tc>
          <w:tcPr>
            <w:tcW w:w="3678" w:type="dxa"/>
          </w:tcPr>
          <w:p w14:paraId="78F6DCD0" w14:textId="77777777" w:rsidR="005D224E" w:rsidRPr="00734B7B" w:rsidRDefault="005D224E" w:rsidP="008B1391">
            <w:pPr>
              <w:jc w:val="center"/>
              <w:rPr>
                <w:rFonts w:ascii="Times New Roman" w:hAnsi="Times New Roman" w:cs="Times New Roman"/>
                <w:sz w:val="23"/>
                <w:szCs w:val="23"/>
              </w:rPr>
            </w:pPr>
            <w:r w:rsidRPr="00734B7B">
              <w:rPr>
                <w:rFonts w:ascii="Times New Roman" w:hAnsi="Times New Roman" w:cs="Times New Roman"/>
                <w:sz w:val="23"/>
                <w:szCs w:val="23"/>
              </w:rPr>
              <w:t>Метод 1</w:t>
            </w:r>
          </w:p>
        </w:tc>
      </w:tr>
      <w:tr w:rsidR="005D224E" w:rsidRPr="00734B7B" w14:paraId="78507CEC" w14:textId="77777777" w:rsidTr="008B1391">
        <w:tc>
          <w:tcPr>
            <w:tcW w:w="0" w:type="auto"/>
          </w:tcPr>
          <w:p w14:paraId="63419521" w14:textId="77777777" w:rsidR="005D224E" w:rsidRPr="00734B7B" w:rsidRDefault="005D224E" w:rsidP="008B1391">
            <w:pPr>
              <w:rPr>
                <w:rFonts w:ascii="Times New Roman" w:hAnsi="Times New Roman" w:cs="Times New Roman"/>
                <w:sz w:val="23"/>
                <w:szCs w:val="23"/>
              </w:rPr>
            </w:pPr>
            <w:r w:rsidRPr="00734B7B">
              <w:rPr>
                <w:rFonts w:ascii="Times New Roman" w:hAnsi="Times New Roman" w:cs="Times New Roman"/>
                <w:sz w:val="23"/>
                <w:szCs w:val="23"/>
              </w:rPr>
              <w:t>Суть дела</w:t>
            </w:r>
          </w:p>
        </w:tc>
        <w:tc>
          <w:tcPr>
            <w:tcW w:w="4409" w:type="dxa"/>
          </w:tcPr>
          <w:p w14:paraId="6602F6A4" w14:textId="194CFBC8" w:rsidR="005D224E" w:rsidRPr="00734B7B" w:rsidRDefault="005D224E" w:rsidP="008B1391">
            <w:pPr>
              <w:ind w:firstLine="709"/>
              <w:jc w:val="both"/>
              <w:rPr>
                <w:rFonts w:ascii="Times New Roman" w:hAnsi="Times New Roman" w:cs="Times New Roman"/>
                <w:sz w:val="23"/>
                <w:szCs w:val="23"/>
              </w:rPr>
            </w:pPr>
            <w:r w:rsidRPr="00734B7B">
              <w:rPr>
                <w:rFonts w:ascii="Times New Roman" w:hAnsi="Times New Roman" w:cs="Times New Roman"/>
                <w:sz w:val="23"/>
                <w:szCs w:val="23"/>
              </w:rPr>
              <w:t xml:space="preserve">Общество обратилось в Арбитражный суд с заявлением к Шереметьевской таможне о признании незаконным решения от 17.10.2020г. о внесении изменений (дополнений) в сведения, указанные в ДТ № 10005030/300620/0177270 и </w:t>
            </w:r>
            <w:r w:rsidR="009F79C6">
              <w:rPr>
                <w:rFonts w:ascii="Times New Roman" w:hAnsi="Times New Roman" w:cs="Times New Roman"/>
                <w:sz w:val="23"/>
                <w:szCs w:val="23"/>
              </w:rPr>
              <w:t>обязать</w:t>
            </w:r>
            <w:r w:rsidRPr="00734B7B">
              <w:rPr>
                <w:rFonts w:ascii="Times New Roman" w:hAnsi="Times New Roman" w:cs="Times New Roman"/>
                <w:sz w:val="23"/>
                <w:szCs w:val="23"/>
              </w:rPr>
              <w:t xml:space="preserve"> таможенн</w:t>
            </w:r>
            <w:r w:rsidR="009F79C6">
              <w:rPr>
                <w:rFonts w:ascii="Times New Roman" w:hAnsi="Times New Roman" w:cs="Times New Roman"/>
                <w:sz w:val="23"/>
                <w:szCs w:val="23"/>
              </w:rPr>
              <w:t>ый</w:t>
            </w:r>
            <w:r w:rsidRPr="00734B7B">
              <w:rPr>
                <w:rFonts w:ascii="Times New Roman" w:hAnsi="Times New Roman" w:cs="Times New Roman"/>
                <w:sz w:val="23"/>
                <w:szCs w:val="23"/>
              </w:rPr>
              <w:t xml:space="preserve"> орган возвратить излишне уплаченные таможенные платежи.</w:t>
            </w:r>
          </w:p>
          <w:p w14:paraId="1ABCE1C0" w14:textId="2976AF32" w:rsidR="005D224E" w:rsidRPr="00734B7B" w:rsidRDefault="005D224E" w:rsidP="008B1391">
            <w:pPr>
              <w:ind w:firstLine="709"/>
              <w:jc w:val="both"/>
              <w:rPr>
                <w:rFonts w:ascii="Times New Roman" w:hAnsi="Times New Roman" w:cs="Times New Roman"/>
                <w:sz w:val="23"/>
                <w:szCs w:val="23"/>
              </w:rPr>
            </w:pPr>
            <w:r w:rsidRPr="00734B7B">
              <w:rPr>
                <w:rFonts w:ascii="Times New Roman" w:hAnsi="Times New Roman" w:cs="Times New Roman"/>
                <w:sz w:val="23"/>
                <w:szCs w:val="23"/>
              </w:rPr>
              <w:t>При проведении проверки документов и сведений таможенный орган выявил риск занижения таможенной стоимости декларируемых товаров, отклонение заявленной величины таможенной стоимости декларируемых товаров от ценовой информации, имеющейся в распоряжении таможенного органа. Также было выявлено отсутствие документального подтверждения заявленной таможенной стоимости</w:t>
            </w:r>
            <w:r>
              <w:rPr>
                <w:rFonts w:ascii="Times New Roman" w:hAnsi="Times New Roman" w:cs="Times New Roman"/>
                <w:sz w:val="23"/>
                <w:szCs w:val="23"/>
              </w:rPr>
              <w:t>.</w:t>
            </w:r>
            <w:r w:rsidRPr="00734B7B">
              <w:rPr>
                <w:rFonts w:ascii="Times New Roman" w:hAnsi="Times New Roman" w:cs="Times New Roman"/>
                <w:sz w:val="23"/>
                <w:szCs w:val="23"/>
              </w:rPr>
              <w:t xml:space="preserve"> В связи с чем был направлен запрос документов и (или) сведений. По запросу таможенного органа ООО </w:t>
            </w:r>
            <w:r w:rsidRPr="00734B7B">
              <w:rPr>
                <w:rFonts w:ascii="Times New Roman" w:hAnsi="Times New Roman" w:cs="Times New Roman"/>
                <w:color w:val="000000"/>
                <w:sz w:val="23"/>
                <w:szCs w:val="23"/>
                <w:shd w:val="clear" w:color="auto" w:fill="FFFFFF"/>
              </w:rPr>
              <w:t>«Чайна Логист Ком» предоставило необходимый комплект документов. Однако представленные документы не устранили имеющееся сомнения. Исходя из сложившейся ситуации, таможенный орган принял решение</w:t>
            </w:r>
            <w:r w:rsidRPr="00734B7B">
              <w:rPr>
                <w:rFonts w:ascii="Times New Roman" w:hAnsi="Times New Roman" w:cs="Times New Roman"/>
                <w:sz w:val="23"/>
                <w:szCs w:val="23"/>
              </w:rPr>
              <w:t xml:space="preserve"> о корректировке таможенной стоимости товара. </w:t>
            </w:r>
            <w:r w:rsidR="0065027C" w:rsidRPr="00734B7B">
              <w:rPr>
                <w:rFonts w:ascii="Times New Roman" w:hAnsi="Times New Roman" w:cs="Times New Roman"/>
                <w:sz w:val="23"/>
                <w:szCs w:val="23"/>
              </w:rPr>
              <w:t>Общество,</w:t>
            </w:r>
            <w:r w:rsidRPr="00734B7B">
              <w:rPr>
                <w:rFonts w:ascii="Times New Roman" w:hAnsi="Times New Roman" w:cs="Times New Roman"/>
                <w:sz w:val="23"/>
                <w:szCs w:val="23"/>
              </w:rPr>
              <w:t xml:space="preserve"> полагая, что данное решение таможенного органа не являлось законно обоснованным обратилось в Арбитражный суд Московской области с заявлением.</w:t>
            </w:r>
          </w:p>
          <w:p w14:paraId="5B2D3301" w14:textId="77777777" w:rsidR="005D224E" w:rsidRPr="00734B7B" w:rsidRDefault="005D224E" w:rsidP="008B1391">
            <w:pPr>
              <w:ind w:firstLine="709"/>
              <w:jc w:val="both"/>
              <w:rPr>
                <w:rFonts w:ascii="Times New Roman" w:hAnsi="Times New Roman" w:cs="Times New Roman"/>
                <w:sz w:val="23"/>
                <w:szCs w:val="23"/>
              </w:rPr>
            </w:pPr>
            <w:r w:rsidRPr="00734B7B">
              <w:rPr>
                <w:rFonts w:ascii="Times New Roman" w:hAnsi="Times New Roman" w:cs="Times New Roman"/>
                <w:sz w:val="23"/>
                <w:szCs w:val="23"/>
              </w:rPr>
              <w:t>Цена реализации термометров производителем без учета экспортных формальностей и транспортных расходов превышает стоимость единицы оцениваемого товара более чем в 7 раз.</w:t>
            </w:r>
          </w:p>
        </w:tc>
        <w:tc>
          <w:tcPr>
            <w:tcW w:w="3678" w:type="dxa"/>
          </w:tcPr>
          <w:p w14:paraId="700A864D" w14:textId="77777777" w:rsidR="005D224E" w:rsidRPr="00734B7B" w:rsidRDefault="005D224E" w:rsidP="008B1391">
            <w:pPr>
              <w:ind w:firstLine="709"/>
              <w:jc w:val="both"/>
              <w:rPr>
                <w:rFonts w:ascii="Times New Roman" w:hAnsi="Times New Roman" w:cs="Times New Roman"/>
                <w:sz w:val="23"/>
                <w:szCs w:val="23"/>
              </w:rPr>
            </w:pPr>
            <w:r w:rsidRPr="00734B7B">
              <w:rPr>
                <w:rFonts w:ascii="Times New Roman" w:hAnsi="Times New Roman" w:cs="Times New Roman"/>
                <w:sz w:val="23"/>
                <w:szCs w:val="23"/>
              </w:rPr>
              <w:t>ООО «СМЛ» обратилось в суд с заявлением к Шереметьевской о признании незаконным решения о корректировки таможенной стоимости от 30.01.2021г. по ДТ №10005030/211120/0356298 и выступало за принятие заявленной таможенной стоимости. Также Общество требовало вернуть излишне уплаченные таможенные платежи товаров в размере 931 649 рублей 13 копеек и взыскать расходы по оплате государственной пошлины в размере 6 000 рублей.</w:t>
            </w:r>
          </w:p>
          <w:p w14:paraId="5ECF291D" w14:textId="77777777" w:rsidR="005D224E" w:rsidRPr="00734B7B" w:rsidRDefault="005D224E" w:rsidP="008B1391">
            <w:pPr>
              <w:ind w:firstLine="709"/>
              <w:jc w:val="both"/>
              <w:rPr>
                <w:rFonts w:ascii="Times New Roman" w:hAnsi="Times New Roman" w:cs="Times New Roman"/>
                <w:sz w:val="23"/>
                <w:szCs w:val="23"/>
              </w:rPr>
            </w:pPr>
            <w:r w:rsidRPr="00734B7B">
              <w:rPr>
                <w:rFonts w:ascii="Times New Roman" w:hAnsi="Times New Roman" w:cs="Times New Roman"/>
                <w:sz w:val="23"/>
                <w:szCs w:val="23"/>
              </w:rPr>
              <w:t>Таможенным органом во время проведения проверки документов и сведений был выявлен факт занижения таможенной стоимости в связи с чем были запрошены дополнительные документы и сведения. Однако дополнительный пакет документов не устранил сомнений таможенного органа. Исходя из этого факта было принято решение о корректировке таможенной стоимости товара по ДТ №10005030/211120/0356298.</w:t>
            </w:r>
          </w:p>
          <w:p w14:paraId="4C69222A" w14:textId="77777777" w:rsidR="005D224E" w:rsidRPr="00734B7B" w:rsidRDefault="005D224E" w:rsidP="008B1391">
            <w:pPr>
              <w:ind w:firstLine="709"/>
              <w:jc w:val="both"/>
              <w:rPr>
                <w:rFonts w:ascii="Times New Roman" w:hAnsi="Times New Roman" w:cs="Times New Roman"/>
                <w:sz w:val="23"/>
                <w:szCs w:val="23"/>
              </w:rPr>
            </w:pPr>
            <w:r w:rsidRPr="00734B7B">
              <w:rPr>
                <w:rFonts w:ascii="Times New Roman" w:hAnsi="Times New Roman" w:cs="Times New Roman"/>
                <w:sz w:val="23"/>
                <w:szCs w:val="23"/>
              </w:rPr>
              <w:t>ООО «СМЛ» настаивало на том, что первый комплект документов подтверждал заявленную таможенную стоимость и сочло данное решение законно необоснованным и обратилось в Арбитражный суд Московской области с заявлением об отмене такого решения.</w:t>
            </w:r>
          </w:p>
        </w:tc>
      </w:tr>
    </w:tbl>
    <w:p w14:paraId="252F0AB2" w14:textId="77777777" w:rsidR="009F79C6" w:rsidRDefault="009F79C6" w:rsidP="005D224E">
      <w:pPr>
        <w:jc w:val="right"/>
        <w:rPr>
          <w:rFonts w:ascii="Times New Roman" w:hAnsi="Times New Roman" w:cs="Times New Roman"/>
          <w:sz w:val="28"/>
          <w:szCs w:val="28"/>
        </w:rPr>
      </w:pPr>
    </w:p>
    <w:p w14:paraId="42D55781" w14:textId="40D7BB1D" w:rsidR="005D224E" w:rsidRDefault="005D224E" w:rsidP="005D224E">
      <w:pPr>
        <w:jc w:val="right"/>
        <w:rPr>
          <w:rFonts w:ascii="Times New Roman" w:hAnsi="Times New Roman" w:cs="Times New Roman"/>
          <w:sz w:val="28"/>
          <w:szCs w:val="28"/>
        </w:rPr>
      </w:pPr>
      <w:r>
        <w:rPr>
          <w:rFonts w:ascii="Times New Roman" w:hAnsi="Times New Roman" w:cs="Times New Roman"/>
          <w:sz w:val="28"/>
          <w:szCs w:val="28"/>
        </w:rPr>
        <w:lastRenderedPageBreak/>
        <w:t xml:space="preserve">Продолжение таблицы </w:t>
      </w:r>
      <w:r w:rsidR="007560C7">
        <w:rPr>
          <w:rFonts w:ascii="Times New Roman" w:hAnsi="Times New Roman" w:cs="Times New Roman"/>
          <w:sz w:val="28"/>
          <w:szCs w:val="28"/>
        </w:rPr>
        <w:t>6</w:t>
      </w:r>
      <w:r>
        <w:rPr>
          <w:rFonts w:ascii="Times New Roman" w:hAnsi="Times New Roman" w:cs="Times New Roman"/>
          <w:sz w:val="28"/>
          <w:szCs w:val="28"/>
        </w:rPr>
        <w:t>.</w:t>
      </w:r>
    </w:p>
    <w:p w14:paraId="0D8ACDC0" w14:textId="77777777" w:rsidR="005D224E" w:rsidRPr="004458F0" w:rsidRDefault="005D224E" w:rsidP="005D224E">
      <w:pPr>
        <w:jc w:val="right"/>
        <w:rPr>
          <w:rFonts w:ascii="Times New Roman" w:hAnsi="Times New Roman" w:cs="Times New Roman"/>
          <w:sz w:val="28"/>
          <w:szCs w:val="28"/>
        </w:rPr>
      </w:pPr>
    </w:p>
    <w:tbl>
      <w:tblPr>
        <w:tblStyle w:val="a8"/>
        <w:tblW w:w="0" w:type="auto"/>
        <w:tblLook w:val="04A0" w:firstRow="1" w:lastRow="0" w:firstColumn="1" w:lastColumn="0" w:noHBand="0" w:noVBand="1"/>
      </w:tblPr>
      <w:tblGrid>
        <w:gridCol w:w="1703"/>
        <w:gridCol w:w="4674"/>
        <w:gridCol w:w="3250"/>
      </w:tblGrid>
      <w:tr w:rsidR="005D224E" w:rsidRPr="00B21FB4" w14:paraId="48C492FB" w14:textId="77777777" w:rsidTr="008B1391">
        <w:tc>
          <w:tcPr>
            <w:tcW w:w="0" w:type="auto"/>
          </w:tcPr>
          <w:p w14:paraId="21040915" w14:textId="77777777" w:rsidR="005D224E" w:rsidRPr="00B21FB4" w:rsidRDefault="005D224E" w:rsidP="008B1391">
            <w:pPr>
              <w:rPr>
                <w:rFonts w:ascii="Times New Roman" w:hAnsi="Times New Roman" w:cs="Times New Roman"/>
                <w:sz w:val="24"/>
                <w:szCs w:val="24"/>
              </w:rPr>
            </w:pPr>
            <w:r w:rsidRPr="00B21FB4">
              <w:rPr>
                <w:rFonts w:ascii="Times New Roman" w:hAnsi="Times New Roman" w:cs="Times New Roman"/>
                <w:sz w:val="24"/>
                <w:szCs w:val="24"/>
              </w:rPr>
              <w:t>Доводы таможенного органа</w:t>
            </w:r>
          </w:p>
        </w:tc>
        <w:tc>
          <w:tcPr>
            <w:tcW w:w="0" w:type="auto"/>
          </w:tcPr>
          <w:p w14:paraId="32DD254D" w14:textId="3646AA57" w:rsidR="005D224E" w:rsidRPr="00B21FB4" w:rsidRDefault="005D224E" w:rsidP="008B1391">
            <w:pPr>
              <w:ind w:firstLine="709"/>
              <w:jc w:val="both"/>
              <w:rPr>
                <w:rFonts w:ascii="Times New Roman" w:hAnsi="Times New Roman" w:cs="Times New Roman"/>
                <w:sz w:val="24"/>
                <w:szCs w:val="24"/>
              </w:rPr>
            </w:pPr>
            <w:r w:rsidRPr="00B21FB4">
              <w:rPr>
                <w:rFonts w:ascii="Times New Roman" w:hAnsi="Times New Roman" w:cs="Times New Roman"/>
                <w:sz w:val="24"/>
                <w:szCs w:val="24"/>
              </w:rPr>
              <w:t xml:space="preserve">1. Стоимость сделки не подтверждена документально. В ответ на запрос таможенного органа декларант представил копию </w:t>
            </w:r>
            <w:r w:rsidR="009F79C6" w:rsidRPr="00B21FB4">
              <w:rPr>
                <w:rFonts w:ascii="Times New Roman" w:hAnsi="Times New Roman" w:cs="Times New Roman"/>
                <w:sz w:val="24"/>
                <w:szCs w:val="24"/>
              </w:rPr>
              <w:t>скриншотов</w:t>
            </w:r>
            <w:r w:rsidRPr="00B21FB4">
              <w:rPr>
                <w:rFonts w:ascii="Times New Roman" w:hAnsi="Times New Roman" w:cs="Times New Roman"/>
                <w:sz w:val="24"/>
                <w:szCs w:val="24"/>
              </w:rPr>
              <w:t xml:space="preserve"> переписки в чате. Данная переписка не является деловой, а также ее нельзя идентифицировать с ввозимыми товарами.</w:t>
            </w:r>
          </w:p>
          <w:p w14:paraId="68ECB710" w14:textId="77777777" w:rsidR="005D224E" w:rsidRPr="00B21FB4" w:rsidRDefault="005D224E" w:rsidP="008B1391">
            <w:pPr>
              <w:ind w:firstLine="709"/>
              <w:jc w:val="both"/>
              <w:rPr>
                <w:rFonts w:ascii="Times New Roman" w:hAnsi="Times New Roman" w:cs="Times New Roman"/>
                <w:sz w:val="24"/>
                <w:szCs w:val="24"/>
              </w:rPr>
            </w:pPr>
            <w:r w:rsidRPr="00B21FB4">
              <w:rPr>
                <w:rFonts w:ascii="Times New Roman" w:hAnsi="Times New Roman" w:cs="Times New Roman"/>
                <w:sz w:val="24"/>
                <w:szCs w:val="24"/>
              </w:rPr>
              <w:t>2. Ввезенные товары на сумму 11673,20 долл. США, однако стоимость рассматриваемой товарной партии составляет 6739,20 долл. США.</w:t>
            </w:r>
          </w:p>
          <w:p w14:paraId="5C37D493" w14:textId="77777777" w:rsidR="005D224E" w:rsidRPr="00B21FB4" w:rsidRDefault="005D224E" w:rsidP="008B1391">
            <w:pPr>
              <w:ind w:firstLine="709"/>
              <w:jc w:val="both"/>
              <w:rPr>
                <w:rFonts w:ascii="Times New Roman" w:hAnsi="Times New Roman" w:cs="Times New Roman"/>
                <w:sz w:val="24"/>
                <w:szCs w:val="24"/>
              </w:rPr>
            </w:pPr>
            <w:r w:rsidRPr="00B21FB4">
              <w:rPr>
                <w:rFonts w:ascii="Times New Roman" w:hAnsi="Times New Roman" w:cs="Times New Roman"/>
                <w:sz w:val="24"/>
                <w:szCs w:val="24"/>
              </w:rPr>
              <w:t>3. На запрос о предоставлении прайс-листа декларант предоставил ценовое предложение, однако невозможно определить кому и кем адресовано данное предложение. Оно не является публичной офертой, из чего следует, что такое предложение не может подтвердить заявленную таможенную стоимость.</w:t>
            </w:r>
          </w:p>
          <w:p w14:paraId="64E2FD97" w14:textId="77777777" w:rsidR="005D224E" w:rsidRPr="00B21FB4" w:rsidRDefault="005D224E" w:rsidP="008B1391">
            <w:pPr>
              <w:ind w:firstLine="709"/>
              <w:jc w:val="both"/>
              <w:rPr>
                <w:rFonts w:ascii="Times New Roman" w:hAnsi="Times New Roman" w:cs="Times New Roman"/>
                <w:sz w:val="24"/>
                <w:szCs w:val="24"/>
              </w:rPr>
            </w:pPr>
            <w:r w:rsidRPr="00B21FB4">
              <w:rPr>
                <w:rFonts w:ascii="Times New Roman" w:hAnsi="Times New Roman" w:cs="Times New Roman"/>
                <w:sz w:val="24"/>
                <w:szCs w:val="24"/>
              </w:rPr>
              <w:t>4.</w:t>
            </w:r>
            <w:r w:rsidRPr="00B21FB4">
              <w:rPr>
                <w:rFonts w:ascii="Arial" w:hAnsi="Arial" w:cs="Arial"/>
                <w:color w:val="000000"/>
                <w:sz w:val="24"/>
                <w:szCs w:val="24"/>
                <w:shd w:val="clear" w:color="auto" w:fill="FFFFFF"/>
              </w:rPr>
              <w:t xml:space="preserve"> </w:t>
            </w:r>
            <w:r w:rsidRPr="00B21FB4">
              <w:rPr>
                <w:rFonts w:ascii="Times New Roman" w:hAnsi="Times New Roman" w:cs="Times New Roman"/>
                <w:sz w:val="24"/>
                <w:szCs w:val="24"/>
              </w:rPr>
              <w:t xml:space="preserve">По документам об оприходовании товара стоимость по рассматриваемой ДТ за один термометр составила 3,24 долл. США/шт. и реализация ввезенного товара также составила 3,24 долл. США/шт. Так, цена, по которой реализуется товар не покрывает все расходы участника ВЭД (импорт товара, наземная обработка груза в аэропорту прибытия, декларирование товара, таможенные платежи, доставка до склада). При этом следует учесть, что местом нахождения как принципала, так и </w:t>
            </w:r>
            <w:r>
              <w:rPr>
                <w:rFonts w:ascii="Times New Roman" w:hAnsi="Times New Roman" w:cs="Times New Roman"/>
                <w:sz w:val="24"/>
                <w:szCs w:val="24"/>
              </w:rPr>
              <w:t>агента</w:t>
            </w:r>
            <w:r w:rsidRPr="00B21FB4">
              <w:rPr>
                <w:rFonts w:ascii="Times New Roman" w:hAnsi="Times New Roman" w:cs="Times New Roman"/>
                <w:sz w:val="24"/>
                <w:szCs w:val="24"/>
              </w:rPr>
              <w:t xml:space="preserve">, является г. Хабаровск, а поставка по внешнеторговой сделке осуществлялась в адрес декларанта ООО «Чайна Логист Ком» из Китая на условиях CPT-Москва. </w:t>
            </w:r>
          </w:p>
        </w:tc>
        <w:tc>
          <w:tcPr>
            <w:tcW w:w="0" w:type="auto"/>
          </w:tcPr>
          <w:p w14:paraId="73278329" w14:textId="77777777" w:rsidR="005D224E" w:rsidRDefault="005D224E" w:rsidP="008B1391">
            <w:pPr>
              <w:ind w:firstLine="709"/>
              <w:jc w:val="both"/>
              <w:rPr>
                <w:rFonts w:ascii="Times New Roman" w:hAnsi="Times New Roman" w:cs="Times New Roman"/>
                <w:sz w:val="24"/>
                <w:szCs w:val="24"/>
              </w:rPr>
            </w:pPr>
            <w:r w:rsidRPr="00B21FB4">
              <w:rPr>
                <w:rFonts w:ascii="Times New Roman" w:hAnsi="Times New Roman" w:cs="Times New Roman"/>
                <w:sz w:val="24"/>
                <w:szCs w:val="24"/>
              </w:rPr>
              <w:t>1. Стоимость сделки не подтверждена документально</w:t>
            </w:r>
            <w:r>
              <w:rPr>
                <w:rFonts w:ascii="Times New Roman" w:hAnsi="Times New Roman" w:cs="Times New Roman"/>
                <w:sz w:val="24"/>
                <w:szCs w:val="24"/>
              </w:rPr>
              <w:t>.</w:t>
            </w:r>
          </w:p>
          <w:p w14:paraId="4DDFBF05" w14:textId="77777777" w:rsidR="005D224E" w:rsidRDefault="005D224E" w:rsidP="008B1391">
            <w:pPr>
              <w:ind w:firstLine="709"/>
              <w:jc w:val="both"/>
              <w:rPr>
                <w:rFonts w:ascii="Times New Roman" w:hAnsi="Times New Roman" w:cs="Times New Roman"/>
                <w:sz w:val="24"/>
                <w:szCs w:val="24"/>
              </w:rPr>
            </w:pPr>
            <w:r>
              <w:rPr>
                <w:rFonts w:ascii="Times New Roman" w:hAnsi="Times New Roman" w:cs="Times New Roman"/>
                <w:sz w:val="24"/>
                <w:szCs w:val="24"/>
              </w:rPr>
              <w:t>2. В прайс-листе указана стоимость единицы товара без учета доставки.</w:t>
            </w:r>
          </w:p>
          <w:p w14:paraId="1BAFF7DD" w14:textId="77777777" w:rsidR="005D224E" w:rsidRPr="00B21FB4" w:rsidRDefault="005D224E" w:rsidP="008B1391">
            <w:pPr>
              <w:ind w:firstLine="709"/>
              <w:jc w:val="both"/>
              <w:rPr>
                <w:rFonts w:ascii="Times New Roman" w:hAnsi="Times New Roman" w:cs="Times New Roman"/>
                <w:sz w:val="24"/>
                <w:szCs w:val="24"/>
              </w:rPr>
            </w:pPr>
            <w:r>
              <w:rPr>
                <w:rFonts w:ascii="Times New Roman" w:hAnsi="Times New Roman" w:cs="Times New Roman"/>
                <w:sz w:val="24"/>
                <w:szCs w:val="24"/>
              </w:rPr>
              <w:t>3. Предоставленная по запросу таможенного органа э</w:t>
            </w:r>
            <w:r w:rsidRPr="005D2267">
              <w:rPr>
                <w:rFonts w:ascii="Times New Roman" w:hAnsi="Times New Roman" w:cs="Times New Roman"/>
                <w:sz w:val="24"/>
                <w:szCs w:val="24"/>
              </w:rPr>
              <w:t>кспортная таможенная декларация не корреспондировала спорной поставке</w:t>
            </w:r>
            <w:r>
              <w:rPr>
                <w:rFonts w:ascii="Times New Roman" w:hAnsi="Times New Roman" w:cs="Times New Roman"/>
                <w:sz w:val="24"/>
                <w:szCs w:val="24"/>
              </w:rPr>
              <w:t xml:space="preserve">. </w:t>
            </w:r>
          </w:p>
        </w:tc>
      </w:tr>
      <w:tr w:rsidR="005D224E" w:rsidRPr="00B21FB4" w14:paraId="05738287" w14:textId="77777777" w:rsidTr="008B1391">
        <w:tc>
          <w:tcPr>
            <w:tcW w:w="0" w:type="auto"/>
          </w:tcPr>
          <w:p w14:paraId="38477BC7" w14:textId="77777777" w:rsidR="005D224E" w:rsidRPr="00B21FB4" w:rsidRDefault="005D224E" w:rsidP="008B1391">
            <w:pPr>
              <w:rPr>
                <w:rFonts w:ascii="Times New Roman" w:hAnsi="Times New Roman" w:cs="Times New Roman"/>
                <w:sz w:val="24"/>
                <w:szCs w:val="24"/>
              </w:rPr>
            </w:pPr>
            <w:r w:rsidRPr="00B21FB4">
              <w:rPr>
                <w:rFonts w:ascii="Times New Roman" w:hAnsi="Times New Roman" w:cs="Times New Roman"/>
                <w:sz w:val="24"/>
                <w:szCs w:val="24"/>
              </w:rPr>
              <w:t>Доводы суда</w:t>
            </w:r>
          </w:p>
        </w:tc>
        <w:tc>
          <w:tcPr>
            <w:tcW w:w="0" w:type="auto"/>
          </w:tcPr>
          <w:p w14:paraId="29645DE8" w14:textId="77777777" w:rsidR="005D224E" w:rsidRPr="00B21FB4" w:rsidRDefault="005D224E" w:rsidP="008B1391">
            <w:pPr>
              <w:ind w:firstLine="709"/>
              <w:jc w:val="both"/>
              <w:rPr>
                <w:rFonts w:ascii="Times New Roman" w:hAnsi="Times New Roman" w:cs="Times New Roman"/>
                <w:sz w:val="24"/>
                <w:szCs w:val="24"/>
              </w:rPr>
            </w:pPr>
            <w:r w:rsidRPr="00B21FB4">
              <w:rPr>
                <w:rFonts w:ascii="Times New Roman" w:hAnsi="Times New Roman" w:cs="Times New Roman"/>
                <w:sz w:val="24"/>
                <w:szCs w:val="24"/>
              </w:rPr>
              <w:t>Совпадают с доводами таможенного органа</w:t>
            </w:r>
          </w:p>
        </w:tc>
        <w:tc>
          <w:tcPr>
            <w:tcW w:w="0" w:type="auto"/>
          </w:tcPr>
          <w:p w14:paraId="0A73543E" w14:textId="77777777" w:rsidR="005D224E" w:rsidRPr="00B21FB4" w:rsidRDefault="005D224E" w:rsidP="008B1391">
            <w:pPr>
              <w:ind w:firstLine="709"/>
              <w:jc w:val="both"/>
              <w:rPr>
                <w:rFonts w:ascii="Times New Roman" w:hAnsi="Times New Roman" w:cs="Times New Roman"/>
                <w:sz w:val="24"/>
                <w:szCs w:val="24"/>
              </w:rPr>
            </w:pPr>
            <w:r>
              <w:rPr>
                <w:rFonts w:ascii="Times New Roman" w:hAnsi="Times New Roman" w:cs="Times New Roman"/>
                <w:sz w:val="24"/>
                <w:szCs w:val="24"/>
              </w:rPr>
              <w:t>Не совпадают с доводами таможенного органа</w:t>
            </w:r>
          </w:p>
        </w:tc>
      </w:tr>
      <w:tr w:rsidR="005D224E" w:rsidRPr="00B21FB4" w14:paraId="7B555447" w14:textId="77777777" w:rsidTr="008B1391">
        <w:tc>
          <w:tcPr>
            <w:tcW w:w="0" w:type="auto"/>
          </w:tcPr>
          <w:p w14:paraId="3B632AC4" w14:textId="77777777" w:rsidR="005D224E" w:rsidRPr="00B21FB4" w:rsidRDefault="005D224E" w:rsidP="008B1391">
            <w:pPr>
              <w:rPr>
                <w:rFonts w:ascii="Times New Roman" w:hAnsi="Times New Roman" w:cs="Times New Roman"/>
                <w:sz w:val="24"/>
                <w:szCs w:val="24"/>
              </w:rPr>
            </w:pPr>
            <w:r w:rsidRPr="00B21FB4">
              <w:rPr>
                <w:rFonts w:ascii="Times New Roman" w:hAnsi="Times New Roman" w:cs="Times New Roman"/>
                <w:sz w:val="24"/>
                <w:szCs w:val="24"/>
              </w:rPr>
              <w:t>Решение суда</w:t>
            </w:r>
          </w:p>
        </w:tc>
        <w:tc>
          <w:tcPr>
            <w:tcW w:w="0" w:type="auto"/>
          </w:tcPr>
          <w:p w14:paraId="666C841B" w14:textId="77777777" w:rsidR="005D224E" w:rsidRPr="00B21FB4" w:rsidRDefault="005D224E" w:rsidP="008B1391">
            <w:pPr>
              <w:ind w:firstLine="709"/>
              <w:jc w:val="both"/>
              <w:rPr>
                <w:rFonts w:ascii="Times New Roman" w:hAnsi="Times New Roman" w:cs="Times New Roman"/>
                <w:sz w:val="24"/>
                <w:szCs w:val="24"/>
              </w:rPr>
            </w:pPr>
            <w:r w:rsidRPr="00B21FB4">
              <w:rPr>
                <w:rFonts w:ascii="Times New Roman" w:hAnsi="Times New Roman" w:cs="Times New Roman"/>
                <w:sz w:val="24"/>
                <w:szCs w:val="24"/>
              </w:rPr>
              <w:t>В пользу Шереметьевской таможни</w:t>
            </w:r>
          </w:p>
        </w:tc>
        <w:tc>
          <w:tcPr>
            <w:tcW w:w="0" w:type="auto"/>
          </w:tcPr>
          <w:p w14:paraId="6C14F704" w14:textId="77777777" w:rsidR="005D224E" w:rsidRPr="00B21FB4" w:rsidRDefault="005D224E" w:rsidP="008B1391">
            <w:pPr>
              <w:ind w:firstLine="709"/>
              <w:jc w:val="both"/>
              <w:rPr>
                <w:rFonts w:ascii="Times New Roman" w:hAnsi="Times New Roman" w:cs="Times New Roman"/>
                <w:sz w:val="24"/>
                <w:szCs w:val="24"/>
              </w:rPr>
            </w:pPr>
            <w:r>
              <w:rPr>
                <w:rFonts w:ascii="Times New Roman" w:hAnsi="Times New Roman" w:cs="Times New Roman"/>
                <w:sz w:val="24"/>
                <w:szCs w:val="24"/>
              </w:rPr>
              <w:t>В пользу ООО «СМЛ»</w:t>
            </w:r>
          </w:p>
        </w:tc>
      </w:tr>
    </w:tbl>
    <w:p w14:paraId="138F2381" w14:textId="77777777" w:rsidR="005D224E" w:rsidRDefault="005D224E" w:rsidP="005D224E">
      <w:pPr>
        <w:spacing w:after="0" w:line="360" w:lineRule="auto"/>
        <w:jc w:val="both"/>
        <w:rPr>
          <w:rFonts w:ascii="Times New Roman" w:hAnsi="Times New Roman" w:cs="Times New Roman"/>
          <w:color w:val="000000"/>
          <w:sz w:val="28"/>
          <w:szCs w:val="28"/>
        </w:rPr>
      </w:pPr>
    </w:p>
    <w:p w14:paraId="7551BB24" w14:textId="58FFD226" w:rsidR="005D224E" w:rsidRDefault="005D224E" w:rsidP="005D224E">
      <w:pPr>
        <w:spacing w:after="0" w:line="360" w:lineRule="auto"/>
        <w:ind w:firstLine="709"/>
        <w:jc w:val="both"/>
        <w:rPr>
          <w:rFonts w:ascii="Times New Roman" w:hAnsi="Times New Roman" w:cs="Times New Roman"/>
          <w:bCs/>
          <w:color w:val="000000"/>
          <w:sz w:val="28"/>
          <w:szCs w:val="28"/>
        </w:rPr>
      </w:pPr>
      <w:r>
        <w:rPr>
          <w:rFonts w:ascii="Times New Roman" w:hAnsi="Times New Roman" w:cs="Times New Roman"/>
          <w:color w:val="000000"/>
          <w:sz w:val="28"/>
          <w:szCs w:val="28"/>
        </w:rPr>
        <w:t xml:space="preserve">Приведенные в таблице </w:t>
      </w:r>
      <w:r w:rsidR="007560C7">
        <w:rPr>
          <w:rFonts w:ascii="Times New Roman" w:hAnsi="Times New Roman" w:cs="Times New Roman"/>
          <w:color w:val="000000"/>
          <w:sz w:val="28"/>
          <w:szCs w:val="28"/>
        </w:rPr>
        <w:t>6</w:t>
      </w:r>
      <w:r>
        <w:rPr>
          <w:rFonts w:ascii="Times New Roman" w:hAnsi="Times New Roman" w:cs="Times New Roman"/>
          <w:color w:val="000000"/>
          <w:sz w:val="28"/>
          <w:szCs w:val="28"/>
        </w:rPr>
        <w:t xml:space="preserve"> дела касаются одного и того же товара – бесконтактных электронных термометров. В связи с пандемией </w:t>
      </w:r>
      <w:r>
        <w:rPr>
          <w:rFonts w:ascii="Times New Roman" w:hAnsi="Times New Roman" w:cs="Times New Roman"/>
          <w:color w:val="000000"/>
          <w:sz w:val="28"/>
          <w:szCs w:val="28"/>
          <w:lang w:val="en-US"/>
        </w:rPr>
        <w:t>Covid</w:t>
      </w:r>
      <w:r w:rsidRPr="00617C7C">
        <w:rPr>
          <w:rFonts w:ascii="Times New Roman" w:hAnsi="Times New Roman" w:cs="Times New Roman"/>
          <w:color w:val="000000"/>
          <w:sz w:val="28"/>
          <w:szCs w:val="28"/>
        </w:rPr>
        <w:t>-19</w:t>
      </w:r>
      <w:r>
        <w:rPr>
          <w:rFonts w:ascii="Times New Roman" w:hAnsi="Times New Roman" w:cs="Times New Roman"/>
          <w:color w:val="000000"/>
          <w:sz w:val="28"/>
          <w:szCs w:val="28"/>
        </w:rPr>
        <w:t xml:space="preserve"> импорт данного товара увеличился, в связи с чем товар стал частым предметом для </w:t>
      </w:r>
      <w:r>
        <w:rPr>
          <w:rFonts w:ascii="Times New Roman" w:hAnsi="Times New Roman" w:cs="Times New Roman"/>
          <w:color w:val="000000"/>
          <w:sz w:val="28"/>
          <w:szCs w:val="28"/>
        </w:rPr>
        <w:lastRenderedPageBreak/>
        <w:t xml:space="preserve">споров. Также в указанных судебных делах стоимость товара определялась на основе метода по стоимости сделки с ввозимыми товарами (метод 1) и товары поставлялась на одинаковых условиях поставки. В рассматриваемых ситуациях при ввозе товара был выявлен факт занижения таможенной стоимости относительно имеющейся у таможенных органов ценовой информации. При схожих доводах таможенного органа относительно расхождения заявленной таможенной стоимости с ценовой информацией, суд принимает разные решения. Относительно дела </w:t>
      </w:r>
      <w:r w:rsidRPr="00617C7C">
        <w:rPr>
          <w:rFonts w:ascii="Times New Roman" w:hAnsi="Times New Roman" w:cs="Times New Roman"/>
          <w:color w:val="000000"/>
          <w:sz w:val="28"/>
          <w:szCs w:val="28"/>
        </w:rPr>
        <w:t>ООО «Чайна Логист Ком»</w:t>
      </w:r>
      <w:r>
        <w:rPr>
          <w:rFonts w:ascii="Times New Roman" w:hAnsi="Times New Roman" w:cs="Times New Roman"/>
          <w:color w:val="000000"/>
          <w:sz w:val="28"/>
          <w:szCs w:val="28"/>
        </w:rPr>
        <w:t xml:space="preserve"> Арбитражный суд отклоняет заявление и принимает сторону таможни. Однако в случае с ООО «СМЛ» суд принимает сторону Общества и отклоняет доводы таможенного органа. Решение суда по делу </w:t>
      </w:r>
      <w:r w:rsidRPr="0053101C">
        <w:rPr>
          <w:rFonts w:ascii="Times New Roman" w:hAnsi="Times New Roman" w:cs="Times New Roman"/>
          <w:bCs/>
          <w:color w:val="000000"/>
          <w:sz w:val="28"/>
          <w:szCs w:val="28"/>
        </w:rPr>
        <w:t>№ А41-17944/2021</w:t>
      </w:r>
      <w:r>
        <w:rPr>
          <w:rFonts w:ascii="Times New Roman" w:hAnsi="Times New Roman" w:cs="Times New Roman"/>
          <w:bCs/>
          <w:color w:val="000000"/>
          <w:sz w:val="28"/>
          <w:szCs w:val="28"/>
        </w:rPr>
        <w:t xml:space="preserve"> можно обоснованно считать спорным, так как оно противоречит основному положению ГАТТ-1947 о том, что оценка ввезенного товара должна основываться на действительной стоимости товара. В данных делах наблюдается отличие стоимости ввозимых товаров от действительной стоимости в несколько раз.</w:t>
      </w:r>
    </w:p>
    <w:p w14:paraId="22C8D975" w14:textId="4CA811CC" w:rsidR="005D224E" w:rsidRDefault="005D224E" w:rsidP="005D224E">
      <w:pPr>
        <w:spacing w:after="0" w:line="240" w:lineRule="auto"/>
        <w:ind w:firstLine="709"/>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Таблица </w:t>
      </w:r>
      <w:r w:rsidR="007560C7">
        <w:rPr>
          <w:rFonts w:ascii="Times New Roman" w:hAnsi="Times New Roman" w:cs="Times New Roman"/>
          <w:color w:val="000000"/>
          <w:sz w:val="28"/>
          <w:szCs w:val="28"/>
        </w:rPr>
        <w:t>7</w:t>
      </w:r>
      <w:r>
        <w:rPr>
          <w:rFonts w:ascii="Times New Roman" w:hAnsi="Times New Roman" w:cs="Times New Roman"/>
          <w:color w:val="000000"/>
          <w:sz w:val="28"/>
          <w:szCs w:val="28"/>
        </w:rPr>
        <w:t>.</w:t>
      </w:r>
    </w:p>
    <w:p w14:paraId="0E4B24B0" w14:textId="77777777" w:rsidR="005D224E" w:rsidRDefault="005D224E" w:rsidP="005D224E">
      <w:pPr>
        <w:spacing w:after="0" w:line="240" w:lineRule="auto"/>
        <w:ind w:firstLine="709"/>
        <w:jc w:val="center"/>
        <w:rPr>
          <w:rFonts w:ascii="Times New Roman" w:hAnsi="Times New Roman" w:cs="Times New Roman"/>
          <w:bCs/>
          <w:color w:val="000000"/>
          <w:sz w:val="28"/>
          <w:szCs w:val="28"/>
        </w:rPr>
      </w:pPr>
      <w:r>
        <w:rPr>
          <w:rFonts w:ascii="Times New Roman" w:hAnsi="Times New Roman" w:cs="Times New Roman"/>
          <w:color w:val="000000"/>
          <w:sz w:val="28"/>
          <w:szCs w:val="28"/>
        </w:rPr>
        <w:t xml:space="preserve">Разбор дела </w:t>
      </w:r>
      <w:r w:rsidRPr="004458F0">
        <w:rPr>
          <w:rFonts w:ascii="Times New Roman" w:hAnsi="Times New Roman" w:cs="Times New Roman"/>
          <w:bCs/>
          <w:color w:val="000000"/>
          <w:sz w:val="28"/>
          <w:szCs w:val="28"/>
        </w:rPr>
        <w:t>№ А41-37685/2020</w:t>
      </w:r>
    </w:p>
    <w:p w14:paraId="73CB3CD7" w14:textId="77777777" w:rsidR="005D224E" w:rsidRPr="004458F0" w:rsidRDefault="005D224E" w:rsidP="005D224E">
      <w:pPr>
        <w:spacing w:after="0" w:line="240" w:lineRule="auto"/>
        <w:ind w:firstLine="709"/>
        <w:jc w:val="center"/>
        <w:rPr>
          <w:rFonts w:ascii="Times New Roman" w:hAnsi="Times New Roman" w:cs="Times New Roman"/>
          <w:bCs/>
          <w:color w:val="000000"/>
          <w:sz w:val="28"/>
          <w:szCs w:val="28"/>
        </w:rPr>
      </w:pPr>
    </w:p>
    <w:tbl>
      <w:tblPr>
        <w:tblStyle w:val="a8"/>
        <w:tblW w:w="9776" w:type="dxa"/>
        <w:tblLook w:val="04A0" w:firstRow="1" w:lastRow="0" w:firstColumn="1" w:lastColumn="0" w:noHBand="0" w:noVBand="1"/>
      </w:tblPr>
      <w:tblGrid>
        <w:gridCol w:w="1591"/>
        <w:gridCol w:w="8185"/>
      </w:tblGrid>
      <w:tr w:rsidR="005D224E" w:rsidRPr="00555397" w14:paraId="738F6AA9" w14:textId="77777777" w:rsidTr="00885283">
        <w:trPr>
          <w:trHeight w:val="288"/>
        </w:trPr>
        <w:tc>
          <w:tcPr>
            <w:tcW w:w="1591" w:type="dxa"/>
          </w:tcPr>
          <w:p w14:paraId="56E9FA31" w14:textId="77777777" w:rsidR="005D224E" w:rsidRPr="00555397" w:rsidRDefault="005D224E" w:rsidP="008B1391">
            <w:pPr>
              <w:rPr>
                <w:rFonts w:ascii="Times New Roman" w:hAnsi="Times New Roman" w:cs="Times New Roman"/>
                <w:sz w:val="24"/>
                <w:szCs w:val="24"/>
              </w:rPr>
            </w:pPr>
            <w:r w:rsidRPr="00555397">
              <w:rPr>
                <w:rFonts w:ascii="Times New Roman" w:hAnsi="Times New Roman" w:cs="Times New Roman"/>
                <w:sz w:val="24"/>
                <w:szCs w:val="24"/>
              </w:rPr>
              <w:t>Номер дела</w:t>
            </w:r>
          </w:p>
        </w:tc>
        <w:tc>
          <w:tcPr>
            <w:tcW w:w="8185" w:type="dxa"/>
          </w:tcPr>
          <w:p w14:paraId="69300DD4" w14:textId="77777777" w:rsidR="005D224E" w:rsidRPr="00555397" w:rsidRDefault="005D224E" w:rsidP="008B1391">
            <w:pPr>
              <w:rPr>
                <w:rFonts w:ascii="Times New Roman" w:hAnsi="Times New Roman" w:cs="Times New Roman"/>
                <w:bCs/>
                <w:sz w:val="24"/>
                <w:szCs w:val="24"/>
              </w:rPr>
            </w:pPr>
            <w:r w:rsidRPr="00555397">
              <w:rPr>
                <w:rFonts w:ascii="Times New Roman" w:hAnsi="Times New Roman" w:cs="Times New Roman"/>
                <w:bCs/>
                <w:sz w:val="24"/>
                <w:szCs w:val="24"/>
              </w:rPr>
              <w:t>№ А41-37685/2020</w:t>
            </w:r>
          </w:p>
        </w:tc>
      </w:tr>
      <w:tr w:rsidR="005D224E" w:rsidRPr="00555397" w14:paraId="7DF38DA4" w14:textId="77777777" w:rsidTr="00885283">
        <w:trPr>
          <w:trHeight w:val="288"/>
        </w:trPr>
        <w:tc>
          <w:tcPr>
            <w:tcW w:w="1591" w:type="dxa"/>
          </w:tcPr>
          <w:p w14:paraId="5FFBBDC5" w14:textId="77777777" w:rsidR="005D224E" w:rsidRPr="00555397" w:rsidRDefault="005D224E" w:rsidP="008B1391">
            <w:pPr>
              <w:rPr>
                <w:rFonts w:ascii="Times New Roman" w:hAnsi="Times New Roman" w:cs="Times New Roman"/>
                <w:sz w:val="24"/>
                <w:szCs w:val="24"/>
              </w:rPr>
            </w:pPr>
            <w:r w:rsidRPr="00555397">
              <w:rPr>
                <w:rFonts w:ascii="Times New Roman" w:hAnsi="Times New Roman" w:cs="Times New Roman"/>
                <w:sz w:val="24"/>
                <w:szCs w:val="24"/>
              </w:rPr>
              <w:t>Истец</w:t>
            </w:r>
          </w:p>
        </w:tc>
        <w:tc>
          <w:tcPr>
            <w:tcW w:w="8185" w:type="dxa"/>
          </w:tcPr>
          <w:p w14:paraId="57AC0974" w14:textId="77777777" w:rsidR="005D224E" w:rsidRPr="00555397" w:rsidRDefault="005D224E" w:rsidP="008B1391">
            <w:pPr>
              <w:rPr>
                <w:rFonts w:ascii="Times New Roman" w:hAnsi="Times New Roman" w:cs="Times New Roman"/>
                <w:sz w:val="24"/>
                <w:szCs w:val="24"/>
              </w:rPr>
            </w:pPr>
            <w:r w:rsidRPr="00555397">
              <w:rPr>
                <w:rFonts w:ascii="Times New Roman" w:hAnsi="Times New Roman" w:cs="Times New Roman"/>
                <w:sz w:val="24"/>
                <w:szCs w:val="24"/>
              </w:rPr>
              <w:t>ООО «</w:t>
            </w:r>
            <w:proofErr w:type="spellStart"/>
            <w:r w:rsidRPr="00555397">
              <w:rPr>
                <w:rFonts w:ascii="Times New Roman" w:hAnsi="Times New Roman" w:cs="Times New Roman"/>
                <w:sz w:val="24"/>
                <w:szCs w:val="24"/>
              </w:rPr>
              <w:t>Проф</w:t>
            </w:r>
            <w:proofErr w:type="spellEnd"/>
            <w:r w:rsidRPr="00555397">
              <w:rPr>
                <w:rFonts w:ascii="Times New Roman" w:hAnsi="Times New Roman" w:cs="Times New Roman"/>
                <w:sz w:val="24"/>
                <w:szCs w:val="24"/>
              </w:rPr>
              <w:t xml:space="preserve"> </w:t>
            </w:r>
            <w:proofErr w:type="spellStart"/>
            <w:r w:rsidRPr="00555397">
              <w:rPr>
                <w:rFonts w:ascii="Times New Roman" w:hAnsi="Times New Roman" w:cs="Times New Roman"/>
                <w:sz w:val="24"/>
                <w:szCs w:val="24"/>
              </w:rPr>
              <w:t>Бьюти</w:t>
            </w:r>
            <w:proofErr w:type="spellEnd"/>
            <w:r w:rsidRPr="00555397">
              <w:rPr>
                <w:rFonts w:ascii="Times New Roman" w:hAnsi="Times New Roman" w:cs="Times New Roman"/>
                <w:sz w:val="24"/>
                <w:szCs w:val="24"/>
              </w:rPr>
              <w:t>»</w:t>
            </w:r>
          </w:p>
        </w:tc>
      </w:tr>
      <w:tr w:rsidR="005D224E" w:rsidRPr="00555397" w14:paraId="48F7AAA4" w14:textId="77777777" w:rsidTr="00885283">
        <w:trPr>
          <w:trHeight w:val="288"/>
        </w:trPr>
        <w:tc>
          <w:tcPr>
            <w:tcW w:w="1591" w:type="dxa"/>
          </w:tcPr>
          <w:p w14:paraId="038DB901" w14:textId="77777777" w:rsidR="005D224E" w:rsidRPr="00555397" w:rsidRDefault="005D224E" w:rsidP="008B1391">
            <w:pPr>
              <w:rPr>
                <w:rFonts w:ascii="Times New Roman" w:hAnsi="Times New Roman" w:cs="Times New Roman"/>
                <w:sz w:val="24"/>
                <w:szCs w:val="24"/>
              </w:rPr>
            </w:pPr>
            <w:r w:rsidRPr="00555397">
              <w:rPr>
                <w:rFonts w:ascii="Times New Roman" w:hAnsi="Times New Roman" w:cs="Times New Roman"/>
                <w:sz w:val="24"/>
                <w:szCs w:val="24"/>
              </w:rPr>
              <w:t>Ответчик</w:t>
            </w:r>
          </w:p>
        </w:tc>
        <w:tc>
          <w:tcPr>
            <w:tcW w:w="8185" w:type="dxa"/>
          </w:tcPr>
          <w:p w14:paraId="6EFF088B" w14:textId="77777777" w:rsidR="005D224E" w:rsidRPr="00555397" w:rsidRDefault="005D224E" w:rsidP="008B1391">
            <w:pPr>
              <w:jc w:val="both"/>
              <w:rPr>
                <w:rFonts w:ascii="Times New Roman" w:hAnsi="Times New Roman" w:cs="Times New Roman"/>
                <w:sz w:val="24"/>
                <w:szCs w:val="24"/>
              </w:rPr>
            </w:pPr>
            <w:r w:rsidRPr="00555397">
              <w:rPr>
                <w:rFonts w:ascii="Times New Roman" w:hAnsi="Times New Roman" w:cs="Times New Roman"/>
                <w:sz w:val="24"/>
                <w:szCs w:val="24"/>
              </w:rPr>
              <w:t>Шереметьевская таможня</w:t>
            </w:r>
          </w:p>
        </w:tc>
      </w:tr>
      <w:tr w:rsidR="005D224E" w:rsidRPr="00555397" w14:paraId="7BAE1602" w14:textId="77777777" w:rsidTr="00885283">
        <w:trPr>
          <w:trHeight w:val="288"/>
        </w:trPr>
        <w:tc>
          <w:tcPr>
            <w:tcW w:w="1591" w:type="dxa"/>
          </w:tcPr>
          <w:p w14:paraId="605A3004" w14:textId="77777777" w:rsidR="005D224E" w:rsidRPr="00555397" w:rsidRDefault="005D224E" w:rsidP="008B1391">
            <w:pPr>
              <w:rPr>
                <w:rFonts w:ascii="Times New Roman" w:hAnsi="Times New Roman" w:cs="Times New Roman"/>
                <w:sz w:val="24"/>
                <w:szCs w:val="24"/>
              </w:rPr>
            </w:pPr>
            <w:r w:rsidRPr="00555397">
              <w:rPr>
                <w:rFonts w:ascii="Times New Roman" w:hAnsi="Times New Roman" w:cs="Times New Roman"/>
                <w:sz w:val="24"/>
                <w:szCs w:val="24"/>
              </w:rPr>
              <w:t>Товар</w:t>
            </w:r>
          </w:p>
        </w:tc>
        <w:tc>
          <w:tcPr>
            <w:tcW w:w="8185" w:type="dxa"/>
          </w:tcPr>
          <w:p w14:paraId="7EF0EC81" w14:textId="77777777" w:rsidR="005D224E" w:rsidRPr="00555397" w:rsidRDefault="005D224E" w:rsidP="008B1391">
            <w:pPr>
              <w:jc w:val="both"/>
              <w:rPr>
                <w:rFonts w:ascii="Times New Roman" w:hAnsi="Times New Roman" w:cs="Times New Roman"/>
                <w:sz w:val="24"/>
                <w:szCs w:val="24"/>
              </w:rPr>
            </w:pPr>
            <w:r w:rsidRPr="00555397">
              <w:rPr>
                <w:rFonts w:ascii="Times New Roman" w:hAnsi="Times New Roman" w:cs="Times New Roman"/>
                <w:sz w:val="24"/>
                <w:szCs w:val="24"/>
              </w:rPr>
              <w:t>Система удаления волос M-I-X Infinity</w:t>
            </w:r>
          </w:p>
        </w:tc>
      </w:tr>
      <w:tr w:rsidR="005D224E" w:rsidRPr="00555397" w14:paraId="62E1D013" w14:textId="77777777" w:rsidTr="00885283">
        <w:trPr>
          <w:trHeight w:val="593"/>
        </w:trPr>
        <w:tc>
          <w:tcPr>
            <w:tcW w:w="1591" w:type="dxa"/>
          </w:tcPr>
          <w:p w14:paraId="608F4263" w14:textId="77777777" w:rsidR="005D224E" w:rsidRPr="00555397" w:rsidRDefault="005D224E" w:rsidP="008B1391">
            <w:pPr>
              <w:rPr>
                <w:rFonts w:ascii="Times New Roman" w:hAnsi="Times New Roman" w:cs="Times New Roman"/>
                <w:sz w:val="24"/>
                <w:szCs w:val="24"/>
              </w:rPr>
            </w:pPr>
            <w:r w:rsidRPr="00555397">
              <w:rPr>
                <w:rFonts w:ascii="Times New Roman" w:hAnsi="Times New Roman" w:cs="Times New Roman"/>
                <w:sz w:val="24"/>
                <w:szCs w:val="24"/>
              </w:rPr>
              <w:t>Условия поставки</w:t>
            </w:r>
          </w:p>
        </w:tc>
        <w:tc>
          <w:tcPr>
            <w:tcW w:w="8185" w:type="dxa"/>
          </w:tcPr>
          <w:p w14:paraId="72F2ACF3" w14:textId="77777777" w:rsidR="005D224E" w:rsidRPr="00555397" w:rsidRDefault="005D224E" w:rsidP="008B1391">
            <w:pPr>
              <w:jc w:val="both"/>
              <w:rPr>
                <w:rFonts w:ascii="Times New Roman" w:hAnsi="Times New Roman" w:cs="Times New Roman"/>
                <w:sz w:val="24"/>
                <w:szCs w:val="24"/>
              </w:rPr>
            </w:pPr>
            <w:r w:rsidRPr="00555397">
              <w:rPr>
                <w:rFonts w:ascii="Times New Roman" w:hAnsi="Times New Roman" w:cs="Times New Roman"/>
                <w:sz w:val="24"/>
                <w:szCs w:val="24"/>
              </w:rPr>
              <w:t>СPТ-Москва</w:t>
            </w:r>
          </w:p>
        </w:tc>
      </w:tr>
      <w:tr w:rsidR="005D224E" w:rsidRPr="00555397" w14:paraId="21E62761" w14:textId="77777777" w:rsidTr="00885283">
        <w:trPr>
          <w:trHeight w:val="577"/>
        </w:trPr>
        <w:tc>
          <w:tcPr>
            <w:tcW w:w="1591" w:type="dxa"/>
          </w:tcPr>
          <w:p w14:paraId="0BF85507" w14:textId="77777777" w:rsidR="005D224E" w:rsidRPr="00555397" w:rsidRDefault="005D224E" w:rsidP="008B1391">
            <w:pPr>
              <w:rPr>
                <w:rFonts w:ascii="Times New Roman" w:hAnsi="Times New Roman" w:cs="Times New Roman"/>
                <w:sz w:val="24"/>
                <w:szCs w:val="24"/>
              </w:rPr>
            </w:pPr>
            <w:r w:rsidRPr="00555397">
              <w:rPr>
                <w:rFonts w:ascii="Times New Roman" w:hAnsi="Times New Roman" w:cs="Times New Roman"/>
                <w:sz w:val="24"/>
                <w:szCs w:val="24"/>
              </w:rPr>
              <w:t xml:space="preserve">Метод определения </w:t>
            </w:r>
          </w:p>
        </w:tc>
        <w:tc>
          <w:tcPr>
            <w:tcW w:w="8185" w:type="dxa"/>
          </w:tcPr>
          <w:p w14:paraId="50E2A524" w14:textId="77777777" w:rsidR="005D224E" w:rsidRPr="00555397" w:rsidRDefault="005D224E" w:rsidP="008B1391">
            <w:pPr>
              <w:jc w:val="both"/>
              <w:rPr>
                <w:rFonts w:ascii="Times New Roman" w:hAnsi="Times New Roman" w:cs="Times New Roman"/>
                <w:sz w:val="24"/>
                <w:szCs w:val="24"/>
              </w:rPr>
            </w:pPr>
            <w:r w:rsidRPr="00555397">
              <w:rPr>
                <w:rFonts w:ascii="Times New Roman" w:hAnsi="Times New Roman" w:cs="Times New Roman"/>
                <w:sz w:val="24"/>
                <w:szCs w:val="24"/>
              </w:rPr>
              <w:t>Метод 1</w:t>
            </w:r>
          </w:p>
        </w:tc>
      </w:tr>
      <w:tr w:rsidR="005D224E" w:rsidRPr="00555397" w14:paraId="5FD10C13" w14:textId="77777777" w:rsidTr="00885283">
        <w:trPr>
          <w:trHeight w:val="2646"/>
        </w:trPr>
        <w:tc>
          <w:tcPr>
            <w:tcW w:w="1591" w:type="dxa"/>
          </w:tcPr>
          <w:p w14:paraId="15816ACA" w14:textId="77777777" w:rsidR="005D224E" w:rsidRPr="00555397" w:rsidRDefault="005D224E" w:rsidP="008B1391">
            <w:pPr>
              <w:rPr>
                <w:rFonts w:ascii="Times New Roman" w:hAnsi="Times New Roman" w:cs="Times New Roman"/>
                <w:sz w:val="24"/>
                <w:szCs w:val="24"/>
              </w:rPr>
            </w:pPr>
            <w:r w:rsidRPr="00555397">
              <w:rPr>
                <w:rFonts w:ascii="Times New Roman" w:hAnsi="Times New Roman" w:cs="Times New Roman"/>
                <w:sz w:val="24"/>
                <w:szCs w:val="24"/>
              </w:rPr>
              <w:t>Суть дела</w:t>
            </w:r>
          </w:p>
        </w:tc>
        <w:tc>
          <w:tcPr>
            <w:tcW w:w="8185" w:type="dxa"/>
          </w:tcPr>
          <w:p w14:paraId="20EA83DA" w14:textId="77777777" w:rsidR="005D224E" w:rsidRPr="00555397" w:rsidRDefault="005D224E" w:rsidP="008B1391">
            <w:pPr>
              <w:ind w:firstLine="709"/>
              <w:jc w:val="both"/>
              <w:rPr>
                <w:rFonts w:ascii="Times New Roman" w:hAnsi="Times New Roman" w:cs="Times New Roman"/>
                <w:sz w:val="24"/>
                <w:szCs w:val="24"/>
              </w:rPr>
            </w:pPr>
            <w:r w:rsidRPr="00555397">
              <w:rPr>
                <w:rFonts w:ascii="Times New Roman" w:hAnsi="Times New Roman" w:cs="Times New Roman"/>
                <w:sz w:val="24"/>
                <w:szCs w:val="24"/>
              </w:rPr>
              <w:t>Спорный товар был выпущен под обеспечение уплаты таможенных платежей на сумму 390 543,16 руб. Во время проверки документов и сведений, подтверждающих сведения, заявленные в ДТ и ДТС-1 Шереметьевской таможней был выявлен факт отклонения величины завяленной таможенной стоимости от имеющейся у таможенного органа ценовой информации. Представленные документы не подтверждали отсутствие влияния взаимосвязи между продавцом и покупателем на стоимость сделки. Исходя из этого факт Обществу был направлен запрос от 19.01.2020 о предоставлении необходимых документов.</w:t>
            </w:r>
          </w:p>
        </w:tc>
      </w:tr>
    </w:tbl>
    <w:p w14:paraId="71C9127C" w14:textId="77777777" w:rsidR="005D224E" w:rsidRDefault="005D224E" w:rsidP="005D224E"/>
    <w:p w14:paraId="49D71A3B" w14:textId="218BE889" w:rsidR="005D224E" w:rsidRDefault="005D224E" w:rsidP="005D224E">
      <w:pPr>
        <w:spacing w:line="240" w:lineRule="auto"/>
        <w:jc w:val="right"/>
        <w:rPr>
          <w:rFonts w:ascii="Times New Roman" w:hAnsi="Times New Roman" w:cs="Times New Roman"/>
          <w:sz w:val="28"/>
          <w:szCs w:val="28"/>
        </w:rPr>
      </w:pPr>
      <w:r w:rsidRPr="00E02E4F">
        <w:rPr>
          <w:rFonts w:ascii="Times New Roman" w:hAnsi="Times New Roman" w:cs="Times New Roman"/>
          <w:sz w:val="28"/>
          <w:szCs w:val="28"/>
        </w:rPr>
        <w:lastRenderedPageBreak/>
        <w:t xml:space="preserve">Продолжение таблицы </w:t>
      </w:r>
      <w:r w:rsidR="007560C7">
        <w:rPr>
          <w:rFonts w:ascii="Times New Roman" w:hAnsi="Times New Roman" w:cs="Times New Roman"/>
          <w:sz w:val="28"/>
          <w:szCs w:val="28"/>
        </w:rPr>
        <w:t>7</w:t>
      </w:r>
      <w:r w:rsidRPr="00E02E4F">
        <w:rPr>
          <w:rFonts w:ascii="Times New Roman" w:hAnsi="Times New Roman" w:cs="Times New Roman"/>
          <w:sz w:val="28"/>
          <w:szCs w:val="28"/>
        </w:rPr>
        <w:t>.</w:t>
      </w:r>
    </w:p>
    <w:p w14:paraId="5C161496" w14:textId="77777777" w:rsidR="005D224E" w:rsidRPr="00E02E4F" w:rsidRDefault="005D224E" w:rsidP="005D224E">
      <w:pPr>
        <w:spacing w:line="240" w:lineRule="auto"/>
        <w:jc w:val="right"/>
        <w:rPr>
          <w:rFonts w:ascii="Times New Roman" w:hAnsi="Times New Roman" w:cs="Times New Roman"/>
          <w:sz w:val="28"/>
          <w:szCs w:val="28"/>
        </w:rPr>
      </w:pPr>
    </w:p>
    <w:tbl>
      <w:tblPr>
        <w:tblStyle w:val="a8"/>
        <w:tblW w:w="0" w:type="auto"/>
        <w:tblLook w:val="04A0" w:firstRow="1" w:lastRow="0" w:firstColumn="1" w:lastColumn="0" w:noHBand="0" w:noVBand="1"/>
      </w:tblPr>
      <w:tblGrid>
        <w:gridCol w:w="1567"/>
        <w:gridCol w:w="8060"/>
      </w:tblGrid>
      <w:tr w:rsidR="005D224E" w:rsidRPr="00555397" w14:paraId="1DA34739" w14:textId="77777777" w:rsidTr="008B1391">
        <w:tc>
          <w:tcPr>
            <w:tcW w:w="1567" w:type="dxa"/>
          </w:tcPr>
          <w:p w14:paraId="56209F73" w14:textId="77777777" w:rsidR="005D224E" w:rsidRPr="00555397" w:rsidRDefault="005D224E" w:rsidP="008B1391">
            <w:pPr>
              <w:rPr>
                <w:rFonts w:ascii="Times New Roman" w:hAnsi="Times New Roman" w:cs="Times New Roman"/>
                <w:sz w:val="24"/>
                <w:szCs w:val="24"/>
              </w:rPr>
            </w:pPr>
            <w:r w:rsidRPr="00555397">
              <w:rPr>
                <w:rFonts w:ascii="Times New Roman" w:hAnsi="Times New Roman" w:cs="Times New Roman"/>
                <w:sz w:val="24"/>
                <w:szCs w:val="24"/>
              </w:rPr>
              <w:t>Доводы таможенного органа</w:t>
            </w:r>
          </w:p>
        </w:tc>
        <w:tc>
          <w:tcPr>
            <w:tcW w:w="8060" w:type="dxa"/>
          </w:tcPr>
          <w:p w14:paraId="3C91DA44" w14:textId="77777777" w:rsidR="005D224E" w:rsidRPr="00555397" w:rsidRDefault="005D224E" w:rsidP="008B1391">
            <w:pPr>
              <w:ind w:firstLine="709"/>
              <w:jc w:val="both"/>
              <w:rPr>
                <w:rFonts w:ascii="Times New Roman" w:hAnsi="Times New Roman" w:cs="Times New Roman"/>
                <w:sz w:val="24"/>
                <w:szCs w:val="24"/>
              </w:rPr>
            </w:pPr>
            <w:r w:rsidRPr="00555397">
              <w:rPr>
                <w:rFonts w:ascii="Times New Roman" w:hAnsi="Times New Roman" w:cs="Times New Roman"/>
                <w:sz w:val="24"/>
                <w:szCs w:val="24"/>
              </w:rPr>
              <w:t>1. Прайс лист – не открытая безадресная оферта, которая адресована неограниченному кругу лиц. Об этом говорит то, что прайс-лист выставлен не на поставки СРТ, а также он не имеет срока действия. Также в нем нет условия поставки и сведений о документе, на основании которого такая поставка осуществлялась. Из этого следует, что прайс-лист нельзя отнести к данной поставке.</w:t>
            </w:r>
          </w:p>
          <w:p w14:paraId="426F343A" w14:textId="77777777" w:rsidR="005D224E" w:rsidRPr="00555397" w:rsidRDefault="005D224E" w:rsidP="008B1391">
            <w:pPr>
              <w:ind w:firstLine="709"/>
              <w:jc w:val="both"/>
              <w:rPr>
                <w:rFonts w:ascii="Times New Roman" w:hAnsi="Times New Roman" w:cs="Times New Roman"/>
                <w:sz w:val="24"/>
                <w:szCs w:val="24"/>
              </w:rPr>
            </w:pPr>
            <w:r w:rsidRPr="00555397">
              <w:rPr>
                <w:rFonts w:ascii="Times New Roman" w:hAnsi="Times New Roman" w:cs="Times New Roman"/>
                <w:sz w:val="24"/>
                <w:szCs w:val="24"/>
              </w:rPr>
              <w:t>2. В контракте сказано, что условия оплаты товара описаны в приложениях к данному контракту, однако в приложениях такая информация отсутствует.</w:t>
            </w:r>
          </w:p>
          <w:p w14:paraId="3F336086" w14:textId="77777777" w:rsidR="005D224E" w:rsidRPr="00555397" w:rsidRDefault="005D224E" w:rsidP="008B1391">
            <w:pPr>
              <w:ind w:firstLine="709"/>
              <w:jc w:val="both"/>
              <w:rPr>
                <w:rFonts w:ascii="Times New Roman" w:hAnsi="Times New Roman" w:cs="Times New Roman"/>
                <w:sz w:val="24"/>
                <w:szCs w:val="24"/>
              </w:rPr>
            </w:pPr>
            <w:r w:rsidRPr="00555397">
              <w:rPr>
                <w:rFonts w:ascii="Times New Roman" w:hAnsi="Times New Roman" w:cs="Times New Roman"/>
                <w:sz w:val="24"/>
                <w:szCs w:val="24"/>
              </w:rPr>
              <w:t xml:space="preserve">3. Расхождение в сроках оплаты. В контракте указано, что оплата должна быть произведена </w:t>
            </w:r>
            <w:proofErr w:type="gramStart"/>
            <w:r w:rsidRPr="00555397">
              <w:rPr>
                <w:rFonts w:ascii="Times New Roman" w:hAnsi="Times New Roman" w:cs="Times New Roman"/>
                <w:sz w:val="24"/>
                <w:szCs w:val="24"/>
              </w:rPr>
              <w:t>до поставке</w:t>
            </w:r>
            <w:proofErr w:type="gramEnd"/>
            <w:r w:rsidRPr="00555397">
              <w:rPr>
                <w:rFonts w:ascii="Times New Roman" w:hAnsi="Times New Roman" w:cs="Times New Roman"/>
                <w:sz w:val="24"/>
                <w:szCs w:val="24"/>
              </w:rPr>
              <w:t xml:space="preserve">, однако в инвойсе говорится о 100% </w:t>
            </w:r>
            <w:proofErr w:type="spellStart"/>
            <w:r w:rsidRPr="00555397">
              <w:rPr>
                <w:rFonts w:ascii="Times New Roman" w:hAnsi="Times New Roman" w:cs="Times New Roman"/>
                <w:sz w:val="24"/>
                <w:szCs w:val="24"/>
              </w:rPr>
              <w:t>постоплате</w:t>
            </w:r>
            <w:proofErr w:type="spellEnd"/>
            <w:r w:rsidRPr="00555397">
              <w:rPr>
                <w:rFonts w:ascii="Times New Roman" w:hAnsi="Times New Roman" w:cs="Times New Roman"/>
                <w:sz w:val="24"/>
                <w:szCs w:val="24"/>
              </w:rPr>
              <w:t>.</w:t>
            </w:r>
          </w:p>
          <w:p w14:paraId="310ACB26" w14:textId="77777777" w:rsidR="005D224E" w:rsidRPr="00555397" w:rsidRDefault="005D224E" w:rsidP="008B1391">
            <w:pPr>
              <w:ind w:firstLine="709"/>
              <w:jc w:val="both"/>
              <w:rPr>
                <w:rFonts w:ascii="Times New Roman" w:hAnsi="Times New Roman" w:cs="Times New Roman"/>
                <w:sz w:val="24"/>
                <w:szCs w:val="24"/>
              </w:rPr>
            </w:pPr>
            <w:r w:rsidRPr="00555397">
              <w:rPr>
                <w:rFonts w:ascii="Times New Roman" w:hAnsi="Times New Roman" w:cs="Times New Roman"/>
                <w:sz w:val="24"/>
                <w:szCs w:val="24"/>
              </w:rPr>
              <w:t>4. В экспортной декларации базис поставки указан на условии FOB, что говорит о том, что транспортные расходы не включаются.</w:t>
            </w:r>
          </w:p>
          <w:p w14:paraId="06203BD0" w14:textId="77777777" w:rsidR="005D224E" w:rsidRPr="00555397" w:rsidRDefault="005D224E" w:rsidP="008B1391">
            <w:pPr>
              <w:ind w:firstLine="709"/>
              <w:jc w:val="both"/>
              <w:rPr>
                <w:rFonts w:ascii="Times New Roman" w:hAnsi="Times New Roman" w:cs="Times New Roman"/>
                <w:sz w:val="24"/>
                <w:szCs w:val="24"/>
              </w:rPr>
            </w:pPr>
            <w:r w:rsidRPr="00555397">
              <w:rPr>
                <w:rFonts w:ascii="Times New Roman" w:hAnsi="Times New Roman" w:cs="Times New Roman"/>
                <w:sz w:val="24"/>
                <w:szCs w:val="24"/>
              </w:rPr>
              <w:t xml:space="preserve">5. Расхождение количества и стоимости товаров в экспортной и в декларации на товары. В экспортной – 40 </w:t>
            </w:r>
            <w:proofErr w:type="spellStart"/>
            <w:r w:rsidRPr="00555397">
              <w:rPr>
                <w:rFonts w:ascii="Times New Roman" w:hAnsi="Times New Roman" w:cs="Times New Roman"/>
                <w:sz w:val="24"/>
                <w:szCs w:val="24"/>
              </w:rPr>
              <w:t>шт</w:t>
            </w:r>
            <w:proofErr w:type="spellEnd"/>
            <w:r w:rsidRPr="00555397">
              <w:rPr>
                <w:rFonts w:ascii="Times New Roman" w:hAnsi="Times New Roman" w:cs="Times New Roman"/>
                <w:sz w:val="24"/>
                <w:szCs w:val="24"/>
              </w:rPr>
              <w:t xml:space="preserve"> по цене 1050 долларов США за </w:t>
            </w:r>
            <w:proofErr w:type="spellStart"/>
            <w:r w:rsidRPr="00555397">
              <w:rPr>
                <w:rFonts w:ascii="Times New Roman" w:hAnsi="Times New Roman" w:cs="Times New Roman"/>
                <w:sz w:val="24"/>
                <w:szCs w:val="24"/>
              </w:rPr>
              <w:t>шт</w:t>
            </w:r>
            <w:proofErr w:type="spellEnd"/>
            <w:r w:rsidRPr="00555397">
              <w:rPr>
                <w:rFonts w:ascii="Times New Roman" w:hAnsi="Times New Roman" w:cs="Times New Roman"/>
                <w:sz w:val="24"/>
                <w:szCs w:val="24"/>
              </w:rPr>
              <w:t xml:space="preserve">, в ДТ –20 </w:t>
            </w:r>
            <w:proofErr w:type="spellStart"/>
            <w:r w:rsidRPr="00555397">
              <w:rPr>
                <w:rFonts w:ascii="Times New Roman" w:hAnsi="Times New Roman" w:cs="Times New Roman"/>
                <w:sz w:val="24"/>
                <w:szCs w:val="24"/>
              </w:rPr>
              <w:t>шт</w:t>
            </w:r>
            <w:proofErr w:type="spellEnd"/>
            <w:r w:rsidRPr="00555397">
              <w:rPr>
                <w:rFonts w:ascii="Times New Roman" w:hAnsi="Times New Roman" w:cs="Times New Roman"/>
                <w:sz w:val="24"/>
                <w:szCs w:val="24"/>
              </w:rPr>
              <w:t xml:space="preserve"> и 1500 долларов США за шт.</w:t>
            </w:r>
          </w:p>
        </w:tc>
      </w:tr>
      <w:tr w:rsidR="005D224E" w:rsidRPr="00555397" w14:paraId="1DD8323A" w14:textId="77777777" w:rsidTr="008B1391">
        <w:tc>
          <w:tcPr>
            <w:tcW w:w="1567" w:type="dxa"/>
          </w:tcPr>
          <w:p w14:paraId="1BF01313" w14:textId="77777777" w:rsidR="005D224E" w:rsidRPr="00555397" w:rsidRDefault="005D224E" w:rsidP="008B1391">
            <w:pPr>
              <w:rPr>
                <w:rFonts w:ascii="Times New Roman" w:hAnsi="Times New Roman" w:cs="Times New Roman"/>
                <w:sz w:val="24"/>
                <w:szCs w:val="24"/>
              </w:rPr>
            </w:pPr>
            <w:r w:rsidRPr="00555397">
              <w:rPr>
                <w:rFonts w:ascii="Times New Roman" w:hAnsi="Times New Roman" w:cs="Times New Roman"/>
                <w:sz w:val="24"/>
                <w:szCs w:val="24"/>
              </w:rPr>
              <w:t>Доводы суда</w:t>
            </w:r>
          </w:p>
        </w:tc>
        <w:tc>
          <w:tcPr>
            <w:tcW w:w="8060" w:type="dxa"/>
          </w:tcPr>
          <w:p w14:paraId="641890AC" w14:textId="77777777" w:rsidR="005D224E" w:rsidRPr="00555397" w:rsidRDefault="005D224E" w:rsidP="008B1391">
            <w:pPr>
              <w:ind w:firstLine="709"/>
              <w:jc w:val="both"/>
              <w:rPr>
                <w:rFonts w:ascii="Times New Roman" w:hAnsi="Times New Roman" w:cs="Times New Roman"/>
                <w:sz w:val="24"/>
                <w:szCs w:val="24"/>
              </w:rPr>
            </w:pPr>
            <w:r w:rsidRPr="00555397">
              <w:rPr>
                <w:rFonts w:ascii="Times New Roman" w:hAnsi="Times New Roman" w:cs="Times New Roman"/>
                <w:sz w:val="24"/>
                <w:szCs w:val="24"/>
              </w:rPr>
              <w:t xml:space="preserve">1. Отсутствие условий поставки и сведений о конкретной поставке не является достаточным основанием для того, чтобы не принять его, так как прайс-лист продавца является </w:t>
            </w:r>
            <w:proofErr w:type="gramStart"/>
            <w:r w:rsidRPr="00555397">
              <w:rPr>
                <w:rFonts w:ascii="Times New Roman" w:hAnsi="Times New Roman" w:cs="Times New Roman"/>
                <w:sz w:val="24"/>
                <w:szCs w:val="24"/>
              </w:rPr>
              <w:t>документом</w:t>
            </w:r>
            <w:proofErr w:type="gramEnd"/>
            <w:r w:rsidRPr="00555397">
              <w:rPr>
                <w:rFonts w:ascii="Times New Roman" w:hAnsi="Times New Roman" w:cs="Times New Roman"/>
                <w:sz w:val="24"/>
                <w:szCs w:val="24"/>
              </w:rPr>
              <w:t xml:space="preserve"> адресованным неограниченному кругу лиц.</w:t>
            </w:r>
          </w:p>
          <w:p w14:paraId="1D730F59" w14:textId="77777777" w:rsidR="005D224E" w:rsidRPr="00555397" w:rsidRDefault="005D224E" w:rsidP="008B1391">
            <w:pPr>
              <w:ind w:firstLine="709"/>
              <w:jc w:val="both"/>
              <w:rPr>
                <w:rFonts w:ascii="Times New Roman" w:hAnsi="Times New Roman" w:cs="Times New Roman"/>
                <w:sz w:val="24"/>
                <w:szCs w:val="24"/>
              </w:rPr>
            </w:pPr>
            <w:r w:rsidRPr="00555397">
              <w:rPr>
                <w:rFonts w:ascii="Times New Roman" w:hAnsi="Times New Roman" w:cs="Times New Roman"/>
                <w:sz w:val="24"/>
                <w:szCs w:val="24"/>
              </w:rPr>
              <w:t xml:space="preserve">2. В Приложении № 3 (Спецификации) указана 100% </w:t>
            </w:r>
            <w:proofErr w:type="spellStart"/>
            <w:r w:rsidRPr="00555397">
              <w:rPr>
                <w:rFonts w:ascii="Times New Roman" w:hAnsi="Times New Roman" w:cs="Times New Roman"/>
                <w:sz w:val="24"/>
                <w:szCs w:val="24"/>
              </w:rPr>
              <w:t>постоплата</w:t>
            </w:r>
            <w:proofErr w:type="spellEnd"/>
            <w:r w:rsidRPr="00555397">
              <w:rPr>
                <w:rFonts w:ascii="Times New Roman" w:hAnsi="Times New Roman" w:cs="Times New Roman"/>
                <w:sz w:val="24"/>
                <w:szCs w:val="24"/>
              </w:rPr>
              <w:t>.</w:t>
            </w:r>
          </w:p>
          <w:p w14:paraId="62207C48" w14:textId="77777777" w:rsidR="005D224E" w:rsidRPr="00555397" w:rsidRDefault="005D224E" w:rsidP="008B1391">
            <w:pPr>
              <w:ind w:firstLine="709"/>
              <w:jc w:val="both"/>
              <w:rPr>
                <w:rFonts w:ascii="Times New Roman" w:hAnsi="Times New Roman" w:cs="Times New Roman"/>
                <w:sz w:val="24"/>
                <w:szCs w:val="24"/>
              </w:rPr>
            </w:pPr>
            <w:r w:rsidRPr="00555397">
              <w:rPr>
                <w:rFonts w:ascii="Times New Roman" w:hAnsi="Times New Roman" w:cs="Times New Roman"/>
                <w:sz w:val="24"/>
                <w:szCs w:val="24"/>
              </w:rPr>
              <w:t>3. Из фактических обстоятельств дела и из ранее указанного довода известно, что стороны согласовали условия оплаты после получения товара, что подтверждено произведенной оплатой. Также заявителем был приведен довод о допущенной технической ошибке, который принимается судом.</w:t>
            </w:r>
          </w:p>
          <w:p w14:paraId="134CC3C8" w14:textId="77777777" w:rsidR="005D224E" w:rsidRPr="00555397" w:rsidRDefault="005D224E" w:rsidP="008B1391">
            <w:pPr>
              <w:ind w:firstLine="709"/>
              <w:jc w:val="both"/>
              <w:rPr>
                <w:rFonts w:ascii="Times New Roman" w:hAnsi="Times New Roman" w:cs="Times New Roman"/>
                <w:sz w:val="24"/>
                <w:szCs w:val="24"/>
              </w:rPr>
            </w:pPr>
            <w:r w:rsidRPr="00555397">
              <w:rPr>
                <w:rFonts w:ascii="Times New Roman" w:hAnsi="Times New Roman" w:cs="Times New Roman"/>
                <w:sz w:val="24"/>
                <w:szCs w:val="24"/>
              </w:rPr>
              <w:t>4. Несовпадение условий поставки в экспортной декларации и декларации на товары соответствует согласованному сторонами условию СРТ, что значит, что   расходы по доставке на стороне продавца.</w:t>
            </w:r>
          </w:p>
          <w:p w14:paraId="02FF792C" w14:textId="77777777" w:rsidR="005D224E" w:rsidRPr="00555397" w:rsidRDefault="005D224E" w:rsidP="008B1391">
            <w:pPr>
              <w:ind w:firstLine="709"/>
              <w:jc w:val="both"/>
              <w:rPr>
                <w:rFonts w:ascii="Times New Roman" w:hAnsi="Times New Roman" w:cs="Times New Roman"/>
                <w:color w:val="FF0000"/>
                <w:sz w:val="24"/>
                <w:szCs w:val="24"/>
              </w:rPr>
            </w:pPr>
            <w:r w:rsidRPr="00555397">
              <w:rPr>
                <w:rFonts w:ascii="Times New Roman" w:hAnsi="Times New Roman" w:cs="Times New Roman"/>
                <w:sz w:val="24"/>
                <w:szCs w:val="24"/>
              </w:rPr>
              <w:t>5. Указанное количество совпадает во всех декларациях.</w:t>
            </w:r>
          </w:p>
        </w:tc>
      </w:tr>
      <w:tr w:rsidR="005D224E" w:rsidRPr="00555397" w14:paraId="17D39FAE" w14:textId="77777777" w:rsidTr="008B1391">
        <w:tc>
          <w:tcPr>
            <w:tcW w:w="1567" w:type="dxa"/>
          </w:tcPr>
          <w:p w14:paraId="0A0B991E" w14:textId="77777777" w:rsidR="005D224E" w:rsidRPr="00555397" w:rsidRDefault="005D224E" w:rsidP="008B1391">
            <w:pPr>
              <w:rPr>
                <w:rFonts w:ascii="Times New Roman" w:hAnsi="Times New Roman" w:cs="Times New Roman"/>
                <w:sz w:val="24"/>
                <w:szCs w:val="24"/>
              </w:rPr>
            </w:pPr>
            <w:r w:rsidRPr="00555397">
              <w:rPr>
                <w:rFonts w:ascii="Times New Roman" w:hAnsi="Times New Roman" w:cs="Times New Roman"/>
                <w:sz w:val="24"/>
                <w:szCs w:val="24"/>
              </w:rPr>
              <w:t>Решение суда</w:t>
            </w:r>
          </w:p>
        </w:tc>
        <w:tc>
          <w:tcPr>
            <w:tcW w:w="8060" w:type="dxa"/>
          </w:tcPr>
          <w:p w14:paraId="79FDC74C" w14:textId="77777777" w:rsidR="005D224E" w:rsidRPr="00555397" w:rsidRDefault="005D224E" w:rsidP="008B1391">
            <w:pPr>
              <w:ind w:firstLine="709"/>
              <w:jc w:val="both"/>
              <w:rPr>
                <w:rFonts w:ascii="Times New Roman" w:hAnsi="Times New Roman" w:cs="Times New Roman"/>
                <w:sz w:val="24"/>
                <w:szCs w:val="24"/>
              </w:rPr>
            </w:pPr>
            <w:r w:rsidRPr="00555397">
              <w:rPr>
                <w:rFonts w:ascii="Times New Roman" w:hAnsi="Times New Roman" w:cs="Times New Roman"/>
                <w:sz w:val="24"/>
                <w:szCs w:val="24"/>
              </w:rPr>
              <w:t>В пользу ООО «</w:t>
            </w:r>
            <w:proofErr w:type="spellStart"/>
            <w:r w:rsidRPr="00555397">
              <w:rPr>
                <w:rFonts w:ascii="Times New Roman" w:hAnsi="Times New Roman" w:cs="Times New Roman"/>
                <w:sz w:val="24"/>
                <w:szCs w:val="24"/>
              </w:rPr>
              <w:t>Проф</w:t>
            </w:r>
            <w:proofErr w:type="spellEnd"/>
            <w:r w:rsidRPr="00555397">
              <w:rPr>
                <w:rFonts w:ascii="Times New Roman" w:hAnsi="Times New Roman" w:cs="Times New Roman"/>
                <w:sz w:val="24"/>
                <w:szCs w:val="24"/>
              </w:rPr>
              <w:t xml:space="preserve"> </w:t>
            </w:r>
            <w:proofErr w:type="spellStart"/>
            <w:r w:rsidRPr="00555397">
              <w:rPr>
                <w:rFonts w:ascii="Times New Roman" w:hAnsi="Times New Roman" w:cs="Times New Roman"/>
                <w:sz w:val="24"/>
                <w:szCs w:val="24"/>
              </w:rPr>
              <w:t>Бьюти</w:t>
            </w:r>
            <w:proofErr w:type="spellEnd"/>
            <w:r w:rsidRPr="00555397">
              <w:rPr>
                <w:rFonts w:ascii="Times New Roman" w:hAnsi="Times New Roman" w:cs="Times New Roman"/>
                <w:sz w:val="24"/>
                <w:szCs w:val="24"/>
              </w:rPr>
              <w:t>»</w:t>
            </w:r>
          </w:p>
        </w:tc>
      </w:tr>
    </w:tbl>
    <w:p w14:paraId="2CA18D6F" w14:textId="77777777" w:rsidR="005D224E" w:rsidRDefault="005D224E" w:rsidP="005D224E">
      <w:pPr>
        <w:spacing w:after="0" w:line="360" w:lineRule="auto"/>
        <w:ind w:firstLine="709"/>
        <w:jc w:val="right"/>
        <w:rPr>
          <w:rFonts w:ascii="Times New Roman" w:hAnsi="Times New Roman" w:cs="Times New Roman"/>
          <w:color w:val="000000"/>
          <w:sz w:val="28"/>
          <w:szCs w:val="28"/>
        </w:rPr>
      </w:pPr>
    </w:p>
    <w:p w14:paraId="4CBBB025" w14:textId="77777777" w:rsidR="005D224E"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В деле </w:t>
      </w:r>
      <w:r w:rsidRPr="00617C7C">
        <w:rPr>
          <w:rFonts w:ascii="Times New Roman" w:hAnsi="Times New Roman" w:cs="Times New Roman"/>
          <w:bCs/>
          <w:color w:val="000000"/>
          <w:sz w:val="28"/>
          <w:szCs w:val="28"/>
        </w:rPr>
        <w:t>№ А41-37685/2020</w:t>
      </w:r>
      <w:r>
        <w:rPr>
          <w:rFonts w:ascii="Times New Roman" w:hAnsi="Times New Roman" w:cs="Times New Roman"/>
          <w:bCs/>
          <w:color w:val="000000"/>
          <w:sz w:val="28"/>
          <w:szCs w:val="28"/>
        </w:rPr>
        <w:t xml:space="preserve"> суд принимает сторону заявителя и не соглашается с доводами Шереметьевской таможни. Однако при этом доводы самого Арбитражного суда кажутся довольно спорными. Расхождения в способах оплаты, невозможность идентифицировать прайс-лист с конкретной поставкой, а также разные базисы поставки в экспортной декларации и декларации на товары являются достаточными доводами для того, чтобы </w:t>
      </w:r>
      <w:r>
        <w:rPr>
          <w:rFonts w:ascii="Times New Roman" w:hAnsi="Times New Roman" w:cs="Times New Roman"/>
          <w:bCs/>
          <w:color w:val="000000"/>
          <w:sz w:val="28"/>
          <w:szCs w:val="28"/>
        </w:rPr>
        <w:lastRenderedPageBreak/>
        <w:t>заявленная таможенная стоимость не была принята. Соответственно решение о корректировки таможенной стоимости является правомерным.</w:t>
      </w:r>
    </w:p>
    <w:p w14:paraId="57614698" w14:textId="5DE2E4E4" w:rsidR="005D224E" w:rsidRDefault="005D224E" w:rsidP="005D224E">
      <w:pPr>
        <w:spacing w:after="0" w:line="240" w:lineRule="auto"/>
        <w:ind w:firstLine="709"/>
        <w:jc w:val="right"/>
        <w:rPr>
          <w:rFonts w:ascii="Times New Roman" w:hAnsi="Times New Roman" w:cs="Times New Roman"/>
          <w:color w:val="000000"/>
          <w:sz w:val="28"/>
          <w:szCs w:val="28"/>
        </w:rPr>
      </w:pPr>
      <w:r>
        <w:rPr>
          <w:rFonts w:ascii="Times New Roman" w:hAnsi="Times New Roman" w:cs="Times New Roman"/>
          <w:color w:val="000000"/>
          <w:sz w:val="28"/>
          <w:szCs w:val="28"/>
        </w:rPr>
        <w:t xml:space="preserve">Таблица </w:t>
      </w:r>
      <w:r w:rsidR="007560C7">
        <w:rPr>
          <w:rFonts w:ascii="Times New Roman" w:hAnsi="Times New Roman" w:cs="Times New Roman"/>
          <w:color w:val="000000"/>
          <w:sz w:val="28"/>
          <w:szCs w:val="28"/>
        </w:rPr>
        <w:t>8</w:t>
      </w:r>
      <w:r>
        <w:rPr>
          <w:rFonts w:ascii="Times New Roman" w:hAnsi="Times New Roman" w:cs="Times New Roman"/>
          <w:color w:val="000000"/>
          <w:sz w:val="28"/>
          <w:szCs w:val="28"/>
        </w:rPr>
        <w:t>.</w:t>
      </w:r>
    </w:p>
    <w:p w14:paraId="49DE162D" w14:textId="77777777" w:rsidR="005D224E" w:rsidRDefault="005D224E" w:rsidP="005D224E">
      <w:pPr>
        <w:spacing w:after="0" w:line="240" w:lineRule="auto"/>
        <w:jc w:val="center"/>
        <w:rPr>
          <w:rFonts w:ascii="Times New Roman" w:hAnsi="Times New Roman" w:cs="Times New Roman"/>
          <w:bCs/>
          <w:color w:val="000000"/>
          <w:sz w:val="28"/>
          <w:szCs w:val="28"/>
        </w:rPr>
      </w:pPr>
      <w:r>
        <w:rPr>
          <w:rFonts w:ascii="Times New Roman" w:hAnsi="Times New Roman" w:cs="Times New Roman"/>
          <w:color w:val="000000"/>
          <w:sz w:val="28"/>
          <w:szCs w:val="28"/>
        </w:rPr>
        <w:t xml:space="preserve">Разбор дела </w:t>
      </w:r>
      <w:r w:rsidRPr="00E02E4F">
        <w:rPr>
          <w:rFonts w:ascii="Times New Roman" w:hAnsi="Times New Roman" w:cs="Times New Roman"/>
          <w:bCs/>
          <w:color w:val="000000"/>
          <w:sz w:val="28"/>
          <w:szCs w:val="28"/>
        </w:rPr>
        <w:t>№А41-12346/20</w:t>
      </w:r>
    </w:p>
    <w:p w14:paraId="680597D5" w14:textId="77777777" w:rsidR="005D224E" w:rsidRDefault="005D224E" w:rsidP="005D224E">
      <w:pPr>
        <w:spacing w:after="0" w:line="360" w:lineRule="auto"/>
        <w:ind w:firstLine="709"/>
        <w:jc w:val="right"/>
        <w:rPr>
          <w:rFonts w:ascii="Times New Roman" w:hAnsi="Times New Roman" w:cs="Times New Roman"/>
          <w:color w:val="000000"/>
          <w:sz w:val="28"/>
          <w:szCs w:val="28"/>
        </w:rPr>
      </w:pPr>
    </w:p>
    <w:tbl>
      <w:tblPr>
        <w:tblStyle w:val="a8"/>
        <w:tblW w:w="0" w:type="auto"/>
        <w:tblLook w:val="04A0" w:firstRow="1" w:lastRow="0" w:firstColumn="1" w:lastColumn="0" w:noHBand="0" w:noVBand="1"/>
      </w:tblPr>
      <w:tblGrid>
        <w:gridCol w:w="1838"/>
        <w:gridCol w:w="7789"/>
      </w:tblGrid>
      <w:tr w:rsidR="005D224E" w:rsidRPr="00E26628" w14:paraId="0DBD8F00" w14:textId="77777777" w:rsidTr="008B1391">
        <w:tc>
          <w:tcPr>
            <w:tcW w:w="0" w:type="auto"/>
          </w:tcPr>
          <w:p w14:paraId="399EBE44" w14:textId="77777777" w:rsidR="005D224E" w:rsidRPr="00E26628" w:rsidRDefault="005D224E" w:rsidP="008B1391">
            <w:pPr>
              <w:rPr>
                <w:rFonts w:ascii="Times New Roman" w:hAnsi="Times New Roman" w:cs="Times New Roman"/>
                <w:sz w:val="24"/>
                <w:szCs w:val="24"/>
              </w:rPr>
            </w:pPr>
            <w:r w:rsidRPr="00E26628">
              <w:rPr>
                <w:rFonts w:ascii="Times New Roman" w:hAnsi="Times New Roman" w:cs="Times New Roman"/>
                <w:sz w:val="24"/>
                <w:szCs w:val="24"/>
              </w:rPr>
              <w:t>Номер дела</w:t>
            </w:r>
          </w:p>
        </w:tc>
        <w:tc>
          <w:tcPr>
            <w:tcW w:w="0" w:type="auto"/>
          </w:tcPr>
          <w:p w14:paraId="19F60229" w14:textId="77777777" w:rsidR="005D224E" w:rsidRPr="00E26628" w:rsidRDefault="005D224E" w:rsidP="008B1391">
            <w:pPr>
              <w:rPr>
                <w:rFonts w:ascii="Times New Roman" w:hAnsi="Times New Roman" w:cs="Times New Roman"/>
                <w:bCs/>
                <w:sz w:val="24"/>
                <w:szCs w:val="24"/>
              </w:rPr>
            </w:pPr>
            <w:r w:rsidRPr="00E26628">
              <w:rPr>
                <w:rFonts w:ascii="Times New Roman" w:hAnsi="Times New Roman" w:cs="Times New Roman"/>
                <w:bCs/>
                <w:sz w:val="24"/>
                <w:szCs w:val="24"/>
              </w:rPr>
              <w:t>№А41-12346/20</w:t>
            </w:r>
          </w:p>
        </w:tc>
      </w:tr>
      <w:tr w:rsidR="005D224E" w:rsidRPr="00E26628" w14:paraId="391E3655" w14:textId="77777777" w:rsidTr="008B1391">
        <w:tc>
          <w:tcPr>
            <w:tcW w:w="0" w:type="auto"/>
          </w:tcPr>
          <w:p w14:paraId="3C23BE01" w14:textId="77777777" w:rsidR="005D224E" w:rsidRPr="00E26628" w:rsidRDefault="005D224E" w:rsidP="008B1391">
            <w:pPr>
              <w:rPr>
                <w:rFonts w:ascii="Times New Roman" w:hAnsi="Times New Roman" w:cs="Times New Roman"/>
                <w:sz w:val="24"/>
                <w:szCs w:val="24"/>
              </w:rPr>
            </w:pPr>
            <w:r w:rsidRPr="00E26628">
              <w:rPr>
                <w:rFonts w:ascii="Times New Roman" w:hAnsi="Times New Roman" w:cs="Times New Roman"/>
                <w:sz w:val="24"/>
                <w:szCs w:val="24"/>
              </w:rPr>
              <w:t>Истец</w:t>
            </w:r>
          </w:p>
        </w:tc>
        <w:tc>
          <w:tcPr>
            <w:tcW w:w="0" w:type="auto"/>
          </w:tcPr>
          <w:p w14:paraId="423CFF62" w14:textId="77777777" w:rsidR="005D224E" w:rsidRPr="00E26628" w:rsidRDefault="005D224E" w:rsidP="008B1391">
            <w:pPr>
              <w:rPr>
                <w:rFonts w:ascii="Times New Roman" w:hAnsi="Times New Roman" w:cs="Times New Roman"/>
                <w:sz w:val="24"/>
                <w:szCs w:val="24"/>
              </w:rPr>
            </w:pPr>
            <w:r w:rsidRPr="00E26628">
              <w:rPr>
                <w:rFonts w:ascii="Times New Roman" w:hAnsi="Times New Roman" w:cs="Times New Roman"/>
                <w:sz w:val="24"/>
                <w:szCs w:val="24"/>
              </w:rPr>
              <w:t>ООО «ПЛАТАН»</w:t>
            </w:r>
          </w:p>
        </w:tc>
      </w:tr>
      <w:tr w:rsidR="005D224E" w:rsidRPr="00E26628" w14:paraId="26F8BC93" w14:textId="77777777" w:rsidTr="008B1391">
        <w:tc>
          <w:tcPr>
            <w:tcW w:w="0" w:type="auto"/>
          </w:tcPr>
          <w:p w14:paraId="57172BA7" w14:textId="77777777" w:rsidR="005D224E" w:rsidRPr="00E26628" w:rsidRDefault="005D224E" w:rsidP="008B1391">
            <w:pPr>
              <w:rPr>
                <w:rFonts w:ascii="Times New Roman" w:hAnsi="Times New Roman" w:cs="Times New Roman"/>
                <w:sz w:val="24"/>
                <w:szCs w:val="24"/>
              </w:rPr>
            </w:pPr>
            <w:r w:rsidRPr="00E26628">
              <w:rPr>
                <w:rFonts w:ascii="Times New Roman" w:hAnsi="Times New Roman" w:cs="Times New Roman"/>
                <w:sz w:val="24"/>
                <w:szCs w:val="24"/>
              </w:rPr>
              <w:t>Ответчик</w:t>
            </w:r>
          </w:p>
        </w:tc>
        <w:tc>
          <w:tcPr>
            <w:tcW w:w="0" w:type="auto"/>
          </w:tcPr>
          <w:p w14:paraId="2EF2782A" w14:textId="77777777" w:rsidR="005D224E" w:rsidRPr="00E26628" w:rsidRDefault="005D224E" w:rsidP="008B1391">
            <w:pPr>
              <w:jc w:val="both"/>
              <w:rPr>
                <w:rFonts w:ascii="Times New Roman" w:hAnsi="Times New Roman" w:cs="Times New Roman"/>
                <w:sz w:val="24"/>
                <w:szCs w:val="24"/>
              </w:rPr>
            </w:pPr>
            <w:r w:rsidRPr="00E26628">
              <w:rPr>
                <w:rFonts w:ascii="Times New Roman" w:hAnsi="Times New Roman" w:cs="Times New Roman"/>
                <w:sz w:val="24"/>
                <w:szCs w:val="24"/>
              </w:rPr>
              <w:t>Шереметьевская таможня</w:t>
            </w:r>
          </w:p>
        </w:tc>
      </w:tr>
      <w:tr w:rsidR="005D224E" w:rsidRPr="00E26628" w14:paraId="5D4943AB" w14:textId="77777777" w:rsidTr="008B1391">
        <w:tc>
          <w:tcPr>
            <w:tcW w:w="0" w:type="auto"/>
          </w:tcPr>
          <w:p w14:paraId="2F671AA9" w14:textId="77777777" w:rsidR="005D224E" w:rsidRPr="00E26628" w:rsidRDefault="005D224E" w:rsidP="008B1391">
            <w:pPr>
              <w:rPr>
                <w:rFonts w:ascii="Times New Roman" w:hAnsi="Times New Roman" w:cs="Times New Roman"/>
                <w:sz w:val="24"/>
                <w:szCs w:val="24"/>
              </w:rPr>
            </w:pPr>
            <w:r w:rsidRPr="00E26628">
              <w:rPr>
                <w:rFonts w:ascii="Times New Roman" w:hAnsi="Times New Roman" w:cs="Times New Roman"/>
                <w:sz w:val="24"/>
                <w:szCs w:val="24"/>
              </w:rPr>
              <w:t>Товар</w:t>
            </w:r>
          </w:p>
        </w:tc>
        <w:tc>
          <w:tcPr>
            <w:tcW w:w="0" w:type="auto"/>
          </w:tcPr>
          <w:p w14:paraId="21769545" w14:textId="77777777" w:rsidR="005D224E" w:rsidRPr="00E26628" w:rsidRDefault="005D224E" w:rsidP="008B1391">
            <w:pPr>
              <w:jc w:val="both"/>
              <w:rPr>
                <w:rFonts w:ascii="Times New Roman" w:hAnsi="Times New Roman" w:cs="Times New Roman"/>
                <w:sz w:val="24"/>
                <w:szCs w:val="24"/>
              </w:rPr>
            </w:pPr>
            <w:r w:rsidRPr="00E26628">
              <w:rPr>
                <w:rFonts w:ascii="Times New Roman" w:hAnsi="Times New Roman" w:cs="Times New Roman"/>
                <w:sz w:val="24"/>
                <w:szCs w:val="24"/>
              </w:rPr>
              <w:t>Схемы интегральные монолитные микросхема</w:t>
            </w:r>
          </w:p>
        </w:tc>
      </w:tr>
      <w:tr w:rsidR="005D224E" w:rsidRPr="00E26628" w14:paraId="602D8E9B" w14:textId="77777777" w:rsidTr="008B1391">
        <w:tc>
          <w:tcPr>
            <w:tcW w:w="0" w:type="auto"/>
          </w:tcPr>
          <w:p w14:paraId="5EB5DB86" w14:textId="77777777" w:rsidR="005D224E" w:rsidRPr="00E26628" w:rsidRDefault="005D224E" w:rsidP="008B1391">
            <w:pPr>
              <w:rPr>
                <w:rFonts w:ascii="Times New Roman" w:hAnsi="Times New Roman" w:cs="Times New Roman"/>
                <w:sz w:val="24"/>
                <w:szCs w:val="24"/>
              </w:rPr>
            </w:pPr>
            <w:r w:rsidRPr="00E26628">
              <w:rPr>
                <w:rFonts w:ascii="Times New Roman" w:hAnsi="Times New Roman" w:cs="Times New Roman"/>
                <w:sz w:val="24"/>
                <w:szCs w:val="24"/>
              </w:rPr>
              <w:t>Условия поставки</w:t>
            </w:r>
          </w:p>
        </w:tc>
        <w:tc>
          <w:tcPr>
            <w:tcW w:w="0" w:type="auto"/>
          </w:tcPr>
          <w:p w14:paraId="01B38CCF" w14:textId="77777777" w:rsidR="005D224E" w:rsidRPr="00E26628" w:rsidRDefault="005D224E" w:rsidP="008B1391">
            <w:pPr>
              <w:jc w:val="both"/>
              <w:rPr>
                <w:rFonts w:ascii="Times New Roman" w:hAnsi="Times New Roman" w:cs="Times New Roman"/>
                <w:sz w:val="24"/>
                <w:szCs w:val="24"/>
              </w:rPr>
            </w:pPr>
            <w:r w:rsidRPr="00E26628">
              <w:rPr>
                <w:rFonts w:ascii="Times New Roman" w:hAnsi="Times New Roman" w:cs="Times New Roman"/>
                <w:sz w:val="24"/>
                <w:szCs w:val="24"/>
              </w:rPr>
              <w:t>-</w:t>
            </w:r>
          </w:p>
        </w:tc>
      </w:tr>
      <w:tr w:rsidR="005D224E" w:rsidRPr="00E26628" w14:paraId="721C62D9" w14:textId="77777777" w:rsidTr="008B1391">
        <w:tc>
          <w:tcPr>
            <w:tcW w:w="0" w:type="auto"/>
          </w:tcPr>
          <w:p w14:paraId="4EC4ACFF" w14:textId="77777777" w:rsidR="005D224E" w:rsidRPr="00E26628" w:rsidRDefault="005D224E" w:rsidP="008B1391">
            <w:pPr>
              <w:rPr>
                <w:rFonts w:ascii="Times New Roman" w:hAnsi="Times New Roman" w:cs="Times New Roman"/>
                <w:sz w:val="24"/>
                <w:szCs w:val="24"/>
              </w:rPr>
            </w:pPr>
            <w:r w:rsidRPr="00E26628">
              <w:rPr>
                <w:rFonts w:ascii="Times New Roman" w:hAnsi="Times New Roman" w:cs="Times New Roman"/>
                <w:sz w:val="24"/>
                <w:szCs w:val="24"/>
              </w:rPr>
              <w:t xml:space="preserve">Метод определения </w:t>
            </w:r>
          </w:p>
        </w:tc>
        <w:tc>
          <w:tcPr>
            <w:tcW w:w="0" w:type="auto"/>
          </w:tcPr>
          <w:p w14:paraId="6A2D9790" w14:textId="77777777" w:rsidR="005D224E" w:rsidRPr="00E26628" w:rsidRDefault="005D224E" w:rsidP="008B1391">
            <w:pPr>
              <w:jc w:val="both"/>
              <w:rPr>
                <w:rFonts w:ascii="Times New Roman" w:hAnsi="Times New Roman" w:cs="Times New Roman"/>
                <w:sz w:val="24"/>
                <w:szCs w:val="24"/>
              </w:rPr>
            </w:pPr>
            <w:r w:rsidRPr="00E26628">
              <w:rPr>
                <w:rFonts w:ascii="Times New Roman" w:hAnsi="Times New Roman" w:cs="Times New Roman"/>
                <w:sz w:val="24"/>
                <w:szCs w:val="24"/>
              </w:rPr>
              <w:t>Метод 1</w:t>
            </w:r>
          </w:p>
        </w:tc>
      </w:tr>
      <w:tr w:rsidR="005D224E" w:rsidRPr="00E26628" w14:paraId="6B164738" w14:textId="77777777" w:rsidTr="008B1391">
        <w:tc>
          <w:tcPr>
            <w:tcW w:w="0" w:type="auto"/>
          </w:tcPr>
          <w:p w14:paraId="4609227B" w14:textId="77777777" w:rsidR="005D224E" w:rsidRPr="00E26628" w:rsidRDefault="005D224E" w:rsidP="008B1391">
            <w:pPr>
              <w:rPr>
                <w:rFonts w:ascii="Times New Roman" w:hAnsi="Times New Roman" w:cs="Times New Roman"/>
                <w:sz w:val="24"/>
                <w:szCs w:val="24"/>
              </w:rPr>
            </w:pPr>
            <w:r w:rsidRPr="00E26628">
              <w:rPr>
                <w:rFonts w:ascii="Times New Roman" w:hAnsi="Times New Roman" w:cs="Times New Roman"/>
                <w:sz w:val="24"/>
                <w:szCs w:val="24"/>
              </w:rPr>
              <w:t>Суть дела</w:t>
            </w:r>
          </w:p>
        </w:tc>
        <w:tc>
          <w:tcPr>
            <w:tcW w:w="0" w:type="auto"/>
          </w:tcPr>
          <w:p w14:paraId="677CA811" w14:textId="77777777" w:rsidR="005D224E" w:rsidRPr="00E26628" w:rsidRDefault="005D224E" w:rsidP="008B1391">
            <w:pPr>
              <w:ind w:firstLine="709"/>
              <w:jc w:val="both"/>
              <w:rPr>
                <w:rFonts w:ascii="Times New Roman" w:hAnsi="Times New Roman" w:cs="Times New Roman"/>
                <w:sz w:val="24"/>
                <w:szCs w:val="24"/>
              </w:rPr>
            </w:pPr>
            <w:r w:rsidRPr="00E26628">
              <w:rPr>
                <w:rFonts w:ascii="Times New Roman" w:hAnsi="Times New Roman" w:cs="Times New Roman"/>
                <w:sz w:val="24"/>
                <w:szCs w:val="24"/>
              </w:rPr>
              <w:t>Общество обратились в суд Московской области с заявлением к Шереметьевской таможне с требованием о признании незаконным решения Шереметьевской таможни от 23.11.2019 г. о внесении изменений в ДТ № 10005030/230919/0251980.</w:t>
            </w:r>
          </w:p>
          <w:p w14:paraId="344876C8" w14:textId="77777777" w:rsidR="005D224E" w:rsidRPr="00E26628" w:rsidRDefault="005D224E" w:rsidP="008B1391">
            <w:pPr>
              <w:ind w:firstLine="709"/>
              <w:jc w:val="both"/>
              <w:rPr>
                <w:rFonts w:ascii="Times New Roman" w:hAnsi="Times New Roman" w:cs="Times New Roman"/>
                <w:sz w:val="24"/>
                <w:szCs w:val="24"/>
              </w:rPr>
            </w:pPr>
            <w:r w:rsidRPr="00E26628">
              <w:rPr>
                <w:rFonts w:ascii="Times New Roman" w:hAnsi="Times New Roman" w:cs="Times New Roman"/>
                <w:sz w:val="24"/>
                <w:szCs w:val="24"/>
              </w:rPr>
              <w:t xml:space="preserve">В результате анализа сведений, заявленных в декларации на товары и декларации таможенной стоимости, представленных документов и сведений таможенным органом было выявлено отклонение величины таможенной стоимости по сравнению с ценовой информацией. Также было установлено, что структура таможенной стоимости не была документально обоснована (отсутствие экспортной декларации). </w:t>
            </w:r>
          </w:p>
          <w:p w14:paraId="5B01B1FE" w14:textId="77777777" w:rsidR="005D224E" w:rsidRPr="00E26628" w:rsidRDefault="005D224E" w:rsidP="008B1391">
            <w:pPr>
              <w:ind w:firstLine="709"/>
              <w:jc w:val="both"/>
              <w:rPr>
                <w:rFonts w:ascii="Times New Roman" w:hAnsi="Times New Roman" w:cs="Times New Roman"/>
                <w:sz w:val="24"/>
                <w:szCs w:val="24"/>
              </w:rPr>
            </w:pPr>
            <w:r w:rsidRPr="00E26628">
              <w:rPr>
                <w:rFonts w:ascii="Times New Roman" w:hAnsi="Times New Roman" w:cs="Times New Roman"/>
                <w:sz w:val="24"/>
                <w:szCs w:val="24"/>
              </w:rPr>
              <w:t>Исходя из этого Шереметьевская таможня направила запрос документов и сведений, сформировало обеспечение уплаты таможенных платежей на сумму 27 530,39 рублей. Обеспечение было внесено и товары были выпущены.</w:t>
            </w:r>
            <w:r w:rsidRPr="00E26628">
              <w:rPr>
                <w:rFonts w:ascii="Arial" w:hAnsi="Arial" w:cs="Arial"/>
                <w:color w:val="000000"/>
                <w:sz w:val="24"/>
                <w:szCs w:val="24"/>
                <w:shd w:val="clear" w:color="auto" w:fill="FFFFFF"/>
              </w:rPr>
              <w:t xml:space="preserve"> </w:t>
            </w:r>
            <w:r w:rsidRPr="00E26628">
              <w:rPr>
                <w:rFonts w:ascii="Times New Roman" w:hAnsi="Times New Roman" w:cs="Times New Roman"/>
                <w:sz w:val="24"/>
                <w:szCs w:val="24"/>
              </w:rPr>
              <w:t>В установленный таможенным органом срок запрошенные у декларанта документы и сведения в таможенный орган не поступили, что свидетельствует о неподтвержденности сведений о таможенной стоимости спорных товаров, указанной обществом при подаче спорной ДТ. Позже Шереметьевской таможней принято решение о внесении изменений в ДТ № 10005030/230919/0251980.</w:t>
            </w:r>
          </w:p>
        </w:tc>
      </w:tr>
      <w:tr w:rsidR="005D224E" w:rsidRPr="00E26628" w14:paraId="56AC32A2" w14:textId="77777777" w:rsidTr="008B1391">
        <w:tc>
          <w:tcPr>
            <w:tcW w:w="0" w:type="auto"/>
          </w:tcPr>
          <w:p w14:paraId="50B72967" w14:textId="77777777" w:rsidR="005D224E" w:rsidRPr="00E26628" w:rsidRDefault="005D224E" w:rsidP="008B1391">
            <w:pPr>
              <w:rPr>
                <w:rFonts w:ascii="Times New Roman" w:hAnsi="Times New Roman" w:cs="Times New Roman"/>
                <w:sz w:val="24"/>
                <w:szCs w:val="24"/>
              </w:rPr>
            </w:pPr>
            <w:r w:rsidRPr="00E26628">
              <w:rPr>
                <w:rFonts w:ascii="Times New Roman" w:hAnsi="Times New Roman" w:cs="Times New Roman"/>
                <w:sz w:val="24"/>
                <w:szCs w:val="24"/>
              </w:rPr>
              <w:t>Доводы таможенного органа</w:t>
            </w:r>
          </w:p>
        </w:tc>
        <w:tc>
          <w:tcPr>
            <w:tcW w:w="0" w:type="auto"/>
          </w:tcPr>
          <w:p w14:paraId="1DBC2A37" w14:textId="77777777" w:rsidR="005D224E" w:rsidRPr="00E26628" w:rsidRDefault="005D224E" w:rsidP="008B1391">
            <w:pPr>
              <w:ind w:firstLine="709"/>
              <w:jc w:val="both"/>
              <w:rPr>
                <w:rFonts w:ascii="Times New Roman" w:hAnsi="Times New Roman" w:cs="Times New Roman"/>
                <w:sz w:val="24"/>
                <w:szCs w:val="24"/>
              </w:rPr>
            </w:pPr>
            <w:r w:rsidRPr="00E26628">
              <w:rPr>
                <w:rFonts w:ascii="Times New Roman" w:hAnsi="Times New Roman" w:cs="Times New Roman"/>
                <w:sz w:val="24"/>
                <w:szCs w:val="24"/>
              </w:rPr>
              <w:t xml:space="preserve">Непредставление документов, подтверждающих заявленную таможенную стоимость в срок. </w:t>
            </w:r>
          </w:p>
        </w:tc>
      </w:tr>
      <w:tr w:rsidR="005D224E" w:rsidRPr="00E26628" w14:paraId="50E532A7" w14:textId="77777777" w:rsidTr="008B1391">
        <w:tc>
          <w:tcPr>
            <w:tcW w:w="0" w:type="auto"/>
          </w:tcPr>
          <w:p w14:paraId="271F429A" w14:textId="77777777" w:rsidR="005D224E" w:rsidRPr="00E26628" w:rsidRDefault="005D224E" w:rsidP="008B1391">
            <w:pPr>
              <w:rPr>
                <w:rFonts w:ascii="Times New Roman" w:hAnsi="Times New Roman" w:cs="Times New Roman"/>
                <w:sz w:val="24"/>
                <w:szCs w:val="24"/>
              </w:rPr>
            </w:pPr>
            <w:r w:rsidRPr="00E26628">
              <w:rPr>
                <w:rFonts w:ascii="Times New Roman" w:hAnsi="Times New Roman" w:cs="Times New Roman"/>
                <w:sz w:val="24"/>
                <w:szCs w:val="24"/>
              </w:rPr>
              <w:t>Доводы суда</w:t>
            </w:r>
          </w:p>
        </w:tc>
        <w:tc>
          <w:tcPr>
            <w:tcW w:w="0" w:type="auto"/>
          </w:tcPr>
          <w:p w14:paraId="754AC7F0" w14:textId="77777777" w:rsidR="005D224E" w:rsidRPr="00E26628" w:rsidRDefault="005D224E" w:rsidP="008B1391">
            <w:pPr>
              <w:ind w:firstLine="709"/>
              <w:jc w:val="both"/>
              <w:rPr>
                <w:rFonts w:ascii="Times New Roman" w:hAnsi="Times New Roman" w:cs="Times New Roman"/>
                <w:color w:val="FF0000"/>
                <w:sz w:val="24"/>
                <w:szCs w:val="24"/>
              </w:rPr>
            </w:pPr>
            <w:r w:rsidRPr="00E26628">
              <w:rPr>
                <w:rFonts w:ascii="Times New Roman" w:hAnsi="Times New Roman" w:cs="Times New Roman"/>
                <w:sz w:val="24"/>
                <w:szCs w:val="24"/>
              </w:rPr>
              <w:t>Довод ООО «ПЛАТАН» о невозможности проинформировать таможенный орган признается судом недоказанным и отклоняется.</w:t>
            </w:r>
          </w:p>
        </w:tc>
      </w:tr>
      <w:tr w:rsidR="005D224E" w:rsidRPr="00E26628" w14:paraId="289E46DD" w14:textId="77777777" w:rsidTr="008B1391">
        <w:tc>
          <w:tcPr>
            <w:tcW w:w="0" w:type="auto"/>
          </w:tcPr>
          <w:p w14:paraId="03D5233D" w14:textId="77777777" w:rsidR="005D224E" w:rsidRPr="00E26628" w:rsidRDefault="005D224E" w:rsidP="008B1391">
            <w:pPr>
              <w:rPr>
                <w:rFonts w:ascii="Times New Roman" w:hAnsi="Times New Roman" w:cs="Times New Roman"/>
                <w:sz w:val="24"/>
                <w:szCs w:val="24"/>
              </w:rPr>
            </w:pPr>
            <w:r w:rsidRPr="00E26628">
              <w:rPr>
                <w:rFonts w:ascii="Times New Roman" w:hAnsi="Times New Roman" w:cs="Times New Roman"/>
                <w:sz w:val="24"/>
                <w:szCs w:val="24"/>
              </w:rPr>
              <w:t>Решение суда</w:t>
            </w:r>
          </w:p>
        </w:tc>
        <w:tc>
          <w:tcPr>
            <w:tcW w:w="0" w:type="auto"/>
          </w:tcPr>
          <w:p w14:paraId="22B58439" w14:textId="77777777" w:rsidR="005D224E" w:rsidRPr="00E26628" w:rsidRDefault="005D224E" w:rsidP="008B1391">
            <w:pPr>
              <w:ind w:firstLine="709"/>
              <w:jc w:val="both"/>
              <w:rPr>
                <w:rFonts w:ascii="Times New Roman" w:hAnsi="Times New Roman" w:cs="Times New Roman"/>
                <w:sz w:val="24"/>
                <w:szCs w:val="24"/>
              </w:rPr>
            </w:pPr>
            <w:r w:rsidRPr="00E26628">
              <w:rPr>
                <w:rFonts w:ascii="Times New Roman" w:hAnsi="Times New Roman" w:cs="Times New Roman"/>
                <w:sz w:val="24"/>
                <w:szCs w:val="24"/>
              </w:rPr>
              <w:t>В пользу Шереметьевской таможни</w:t>
            </w:r>
          </w:p>
        </w:tc>
      </w:tr>
    </w:tbl>
    <w:p w14:paraId="5B11630D" w14:textId="77777777" w:rsidR="005D224E" w:rsidRDefault="005D224E" w:rsidP="005D224E">
      <w:pPr>
        <w:spacing w:after="0" w:line="360" w:lineRule="auto"/>
        <w:ind w:firstLine="709"/>
        <w:jc w:val="both"/>
        <w:rPr>
          <w:rFonts w:ascii="Times New Roman" w:hAnsi="Times New Roman" w:cs="Times New Roman"/>
          <w:color w:val="000000"/>
          <w:sz w:val="28"/>
          <w:szCs w:val="28"/>
        </w:rPr>
      </w:pPr>
    </w:p>
    <w:p w14:paraId="4511D099" w14:textId="77777777" w:rsidR="005D224E"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Рассмотрев дело </w:t>
      </w:r>
      <w:r w:rsidRPr="008302C8">
        <w:rPr>
          <w:rFonts w:ascii="Times New Roman" w:hAnsi="Times New Roman" w:cs="Times New Roman"/>
          <w:color w:val="000000"/>
          <w:sz w:val="28"/>
          <w:szCs w:val="28"/>
        </w:rPr>
        <w:t>№А41-12346/20</w:t>
      </w:r>
      <w:r>
        <w:rPr>
          <w:rFonts w:ascii="Times New Roman" w:hAnsi="Times New Roman" w:cs="Times New Roman"/>
          <w:color w:val="000000"/>
          <w:sz w:val="28"/>
          <w:szCs w:val="28"/>
        </w:rPr>
        <w:t xml:space="preserve">, стоит отметить, что неготовность декларанта представить необходимые документы и сведения становится довольно частой причиной разрешения споров в пользу таможенного органа. Участникам ВЭД стоит обращать внимание на то, в какой срок ему необходимо </w:t>
      </w:r>
      <w:r>
        <w:rPr>
          <w:rFonts w:ascii="Times New Roman" w:hAnsi="Times New Roman" w:cs="Times New Roman"/>
          <w:color w:val="000000"/>
          <w:sz w:val="28"/>
          <w:szCs w:val="28"/>
        </w:rPr>
        <w:lastRenderedPageBreak/>
        <w:t>представить дополнительный пакет документов. В случаях с невозможностью представить их в срок, необходимо предупредить таможенный орган и при этом причина должна быть веской. Часто на практике участники ВЭД не обращают внимание, что срок предоставления исчисляется в календарных днях. Из этого выходит то, что декларант не успевает представить документы.</w:t>
      </w:r>
    </w:p>
    <w:p w14:paraId="577C667B" w14:textId="77777777" w:rsidR="005D224E" w:rsidRPr="00E03247" w:rsidRDefault="005D224E" w:rsidP="005D224E">
      <w:pPr>
        <w:spacing w:after="0" w:line="360" w:lineRule="auto"/>
        <w:ind w:firstLine="709"/>
        <w:jc w:val="both"/>
        <w:rPr>
          <w:rFonts w:ascii="Times New Roman" w:hAnsi="Times New Roman" w:cs="Times New Roman"/>
          <w:color w:val="000000"/>
          <w:sz w:val="28"/>
          <w:szCs w:val="28"/>
        </w:rPr>
      </w:pPr>
      <w:r w:rsidRPr="00E03247">
        <w:rPr>
          <w:rFonts w:ascii="Times New Roman" w:hAnsi="Times New Roman" w:cs="Times New Roman"/>
          <w:color w:val="000000"/>
          <w:sz w:val="28"/>
          <w:szCs w:val="28"/>
        </w:rPr>
        <w:t xml:space="preserve">Изучив, практику разрешения споров, можно сделать вывод, что чаще всего действия таможенных органов признаются правомерными. Участники ВЭД не могут отстоять свою позицию и обосновать законность их действий, а также подтвердить ее предоставлением необходимых документов. </w:t>
      </w:r>
      <w:r>
        <w:rPr>
          <w:rFonts w:ascii="Times New Roman" w:hAnsi="Times New Roman" w:cs="Times New Roman"/>
          <w:color w:val="000000"/>
          <w:sz w:val="28"/>
          <w:szCs w:val="28"/>
        </w:rPr>
        <w:t xml:space="preserve">В случаях, когда суд не принимает сторону таможенного органа, такие решения не являются достаточно обоснованными. </w:t>
      </w:r>
      <w:r w:rsidRPr="00E03247">
        <w:rPr>
          <w:rFonts w:ascii="Times New Roman" w:hAnsi="Times New Roman" w:cs="Times New Roman"/>
          <w:color w:val="000000"/>
          <w:sz w:val="28"/>
          <w:szCs w:val="28"/>
        </w:rPr>
        <w:t>Также, декларант чаще всего пытается умышленно занизить таможенную стоимость, чтобы избежать уплату больших сумм таможенных платежей.</w:t>
      </w:r>
    </w:p>
    <w:p w14:paraId="5A7461E9" w14:textId="77777777" w:rsidR="005D224E" w:rsidRPr="00E5220C"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color w:val="000000"/>
          <w:sz w:val="28"/>
          <w:szCs w:val="28"/>
        </w:rPr>
        <w:t xml:space="preserve">Подводя итоги данной главы, необходимо отметить следующее. Во-первых, декларирование таможенной стоимости является неотъемлемой частью декларирования товаров, поэтому в настоящее время одно понятие декларирование таможенной стоимости входит в понятие декларирование товаров. </w:t>
      </w:r>
      <w:r w:rsidRPr="00E03247">
        <w:rPr>
          <w:rFonts w:ascii="Times New Roman" w:hAnsi="Times New Roman" w:cs="Times New Roman"/>
          <w:sz w:val="28"/>
          <w:szCs w:val="28"/>
        </w:rPr>
        <w:t xml:space="preserve">Определение таможенной стоимости базируется на системе методов определения таможенной стоимости товаров. В случае недостоверного декларировании таможенной </w:t>
      </w:r>
      <w:r>
        <w:rPr>
          <w:rFonts w:ascii="Times New Roman" w:hAnsi="Times New Roman" w:cs="Times New Roman"/>
          <w:sz w:val="28"/>
          <w:szCs w:val="28"/>
        </w:rPr>
        <w:t>стоимости возникают негативны</w:t>
      </w:r>
      <w:r w:rsidRPr="00E03247">
        <w:rPr>
          <w:rFonts w:ascii="Times New Roman" w:hAnsi="Times New Roman" w:cs="Times New Roman"/>
          <w:sz w:val="28"/>
          <w:szCs w:val="28"/>
        </w:rPr>
        <w:t>е последствия. Для предотвращения этого таможенными органами проводится контроль таможенной стоимость, в ходе которого поэтапно запрашиваются документы</w:t>
      </w:r>
      <w:r>
        <w:rPr>
          <w:rFonts w:ascii="Times New Roman" w:hAnsi="Times New Roman" w:cs="Times New Roman"/>
          <w:sz w:val="28"/>
          <w:szCs w:val="28"/>
        </w:rPr>
        <w:t xml:space="preserve">. В случае, когда представленные документы не устраняют сомнения или же просто не представляются, таможенный орган принимает решение о корректировке таможенной стоимости. </w:t>
      </w:r>
      <w:r w:rsidRPr="00E03247">
        <w:rPr>
          <w:rFonts w:ascii="Times New Roman" w:hAnsi="Times New Roman" w:cs="Times New Roman"/>
          <w:sz w:val="28"/>
          <w:szCs w:val="28"/>
        </w:rPr>
        <w:t>Однако, множество споров возникает по данным решениям. Участники ВЭД, обращаются в суд, чтобы оспорить изменение таможенной стоимости таможенными органами. В настоящее время утвердилась положительная для таможенных органов</w:t>
      </w:r>
      <w:r>
        <w:rPr>
          <w:rFonts w:ascii="Times New Roman" w:hAnsi="Times New Roman" w:cs="Times New Roman"/>
          <w:sz w:val="28"/>
          <w:szCs w:val="28"/>
        </w:rPr>
        <w:t xml:space="preserve"> практика разрешения таких дел.</w:t>
      </w:r>
    </w:p>
    <w:p w14:paraId="3DDD10B2" w14:textId="77777777" w:rsidR="005D224E" w:rsidRPr="006818A5" w:rsidRDefault="005D224E" w:rsidP="005D224E">
      <w:pPr>
        <w:spacing w:after="0" w:line="360" w:lineRule="auto"/>
        <w:jc w:val="both"/>
        <w:rPr>
          <w:rFonts w:ascii="Times New Roman" w:eastAsia="Times New Roman" w:hAnsi="Times New Roman" w:cs="Times New Roman"/>
          <w:sz w:val="28"/>
          <w:szCs w:val="28"/>
          <w:lang w:eastAsia="ru-RU"/>
        </w:rPr>
        <w:sectPr w:rsidR="005D224E" w:rsidRPr="006818A5" w:rsidSect="00E8645A">
          <w:footerReference w:type="default" r:id="rId51"/>
          <w:pgSz w:w="11906" w:h="16838"/>
          <w:pgMar w:top="1134" w:right="851" w:bottom="1134" w:left="1418" w:header="0" w:footer="1417" w:gutter="0"/>
          <w:cols w:space="708"/>
          <w:docGrid w:linePitch="360"/>
        </w:sectPr>
      </w:pPr>
    </w:p>
    <w:p w14:paraId="64D64977" w14:textId="77777777" w:rsidR="005D224E" w:rsidRPr="00E02E4F" w:rsidRDefault="005D224E" w:rsidP="005D224E">
      <w:pPr>
        <w:pStyle w:val="11"/>
        <w:spacing w:line="240" w:lineRule="auto"/>
        <w:jc w:val="center"/>
        <w:rPr>
          <w:rFonts w:cs="Times New Roman"/>
          <w:color w:val="auto"/>
          <w:szCs w:val="28"/>
        </w:rPr>
      </w:pPr>
      <w:bookmarkStart w:id="27" w:name="_Toc25947426"/>
      <w:bookmarkStart w:id="28" w:name="_Toc152675677"/>
      <w:r w:rsidRPr="00C2318E">
        <w:rPr>
          <w:rFonts w:cs="Times New Roman"/>
          <w:color w:val="auto"/>
          <w:szCs w:val="28"/>
        </w:rPr>
        <w:lastRenderedPageBreak/>
        <w:t>ГЛАВА 3. СОВЕРШЕНСТВОВАНИЕ ПРАКТИКИ ПРИМЕНЕНИЯ МЕТОДОВ ОПРЕДЕЛЕНИЯ ТАМОЖЕННОЙ СТОИМОСТИ</w:t>
      </w:r>
      <w:bookmarkEnd w:id="27"/>
      <w:bookmarkEnd w:id="28"/>
    </w:p>
    <w:p w14:paraId="0BCD3B0B" w14:textId="77777777" w:rsidR="005D224E" w:rsidRPr="00E02E4F" w:rsidRDefault="005D224E" w:rsidP="005D224E">
      <w:pPr>
        <w:pStyle w:val="11"/>
        <w:spacing w:line="240" w:lineRule="auto"/>
        <w:jc w:val="center"/>
        <w:rPr>
          <w:rFonts w:cs="Times New Roman"/>
          <w:color w:val="auto"/>
          <w:szCs w:val="28"/>
        </w:rPr>
      </w:pPr>
      <w:bookmarkStart w:id="29" w:name="_Toc152675678"/>
      <w:bookmarkStart w:id="30" w:name="_Toc25947427"/>
      <w:r w:rsidRPr="00C2318E">
        <w:rPr>
          <w:rFonts w:cs="Times New Roman"/>
          <w:color w:val="auto"/>
          <w:szCs w:val="28"/>
        </w:rPr>
        <w:t>3.1. Рекомендации по применению методов определения таможенной</w:t>
      </w:r>
      <w:r>
        <w:rPr>
          <w:rFonts w:cs="Times New Roman"/>
          <w:color w:val="auto"/>
          <w:szCs w:val="28"/>
        </w:rPr>
        <w:t xml:space="preserve"> стоимости</w:t>
      </w:r>
      <w:bookmarkEnd w:id="29"/>
      <w:r w:rsidRPr="00C2318E">
        <w:rPr>
          <w:rFonts w:cs="Times New Roman"/>
          <w:color w:val="auto"/>
          <w:szCs w:val="28"/>
        </w:rPr>
        <w:t xml:space="preserve"> </w:t>
      </w:r>
      <w:bookmarkEnd w:id="30"/>
    </w:p>
    <w:p w14:paraId="5B5EBC2F" w14:textId="77777777" w:rsidR="005D224E" w:rsidRDefault="005D224E" w:rsidP="005D224E">
      <w:pPr>
        <w:spacing w:after="0" w:line="360" w:lineRule="auto"/>
        <w:ind w:firstLine="709"/>
        <w:jc w:val="both"/>
        <w:rPr>
          <w:rFonts w:ascii="Times New Roman" w:hAnsi="Times New Roman" w:cs="Times New Roman"/>
          <w:sz w:val="28"/>
          <w:szCs w:val="28"/>
        </w:rPr>
      </w:pPr>
    </w:p>
    <w:p w14:paraId="5C6630D6"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Несмотря на то, что система методов определения таможенной стоимости была закреплена еще в Соглашении </w:t>
      </w:r>
      <w:r w:rsidRPr="00E03247">
        <w:rPr>
          <w:rFonts w:ascii="Times New Roman" w:hAnsi="Times New Roman" w:cs="Times New Roman"/>
          <w:sz w:val="28"/>
          <w:szCs w:val="28"/>
          <w:shd w:val="clear" w:color="auto" w:fill="FFFFFF"/>
        </w:rPr>
        <w:t>о</w:t>
      </w:r>
      <w:r w:rsidRPr="008452E8">
        <w:rPr>
          <w:rFonts w:ascii="Times New Roman" w:hAnsi="Times New Roman" w:cs="Times New Roman"/>
          <w:sz w:val="28"/>
          <w:szCs w:val="28"/>
          <w:shd w:val="clear" w:color="auto" w:fill="FFFFFF"/>
        </w:rPr>
        <w:t xml:space="preserve"> </w:t>
      </w:r>
      <w:r>
        <w:rPr>
          <w:rFonts w:ascii="Times New Roman" w:hAnsi="Times New Roman" w:cs="Times New Roman"/>
          <w:sz w:val="28"/>
          <w:szCs w:val="28"/>
          <w:shd w:val="clear" w:color="auto" w:fill="FFFFFF"/>
        </w:rPr>
        <w:t>применении статьи VII ГАТТ-1994, а на наднациональном уровне для каждого из методов определения таможенной стоимости существуют правила, закреплённые в Решениях ЕЭК, при определении таможенной стоимости возникают трудности.</w:t>
      </w:r>
    </w:p>
    <w:p w14:paraId="576C72CF" w14:textId="77777777" w:rsidR="005D224E" w:rsidRPr="00E03247"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М</w:t>
      </w:r>
      <w:r w:rsidRPr="00E03247">
        <w:rPr>
          <w:rFonts w:ascii="Times New Roman" w:hAnsi="Times New Roman" w:cs="Times New Roman"/>
          <w:sz w:val="28"/>
          <w:szCs w:val="28"/>
        </w:rPr>
        <w:t xml:space="preserve">етод определения таможенной стоимости по сделке с ввозимыми товарами является наиболее простым относительно других методов определения таможенной стоимости, </w:t>
      </w:r>
      <w:r>
        <w:rPr>
          <w:rFonts w:ascii="Times New Roman" w:hAnsi="Times New Roman" w:cs="Times New Roman"/>
          <w:sz w:val="28"/>
          <w:szCs w:val="28"/>
        </w:rPr>
        <w:t xml:space="preserve">однако </w:t>
      </w:r>
      <w:r w:rsidRPr="00E03247">
        <w:rPr>
          <w:rFonts w:ascii="Times New Roman" w:hAnsi="Times New Roman" w:cs="Times New Roman"/>
          <w:sz w:val="28"/>
          <w:szCs w:val="28"/>
        </w:rPr>
        <w:t>при его применении возникают некоторые вопросы.</w:t>
      </w:r>
    </w:p>
    <w:p w14:paraId="767D4CB5" w14:textId="77777777" w:rsidR="005D224E"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При использовании первого метода необходимо учитывать то, что зачастую таможенная стоимость не просто равна цене сделки, указанной в счет-фактуре, а имеет дополнительные начисления. Декларанту, необходимо проанализировать все условия, на которых была заключена сделка. Необходимо четко установить, где и в какой момент продавец перестает нести ответственность и передает ее покупателю. Рассмотрим ситуации, когда возникают проблемы с применением первого метода.</w:t>
      </w:r>
    </w:p>
    <w:p w14:paraId="3FF4AFF8"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Проблемным является момент включения вознаграждения за экспедиторские услуги в таможенную стоимость. По мнению таможенных органов, вознаграждение за экспедиторские услуги не подлежит вычету из таможенной стоимости. В ст. 40 ТК ЕАЭС не упоминается то, что «экспедиторские расходы» являются доначислениями или то, что они являются вычетами. При этом в письме ФТС Р</w:t>
      </w:r>
      <w:r w:rsidRPr="0062691F">
        <w:rPr>
          <w:rFonts w:ascii="Times New Roman" w:hAnsi="Times New Roman" w:cs="Times New Roman"/>
          <w:sz w:val="28"/>
          <w:szCs w:val="28"/>
        </w:rPr>
        <w:t>оссии от 11.12.2013 № 01-11/56466 «О</w:t>
      </w:r>
      <w:r>
        <w:rPr>
          <w:rFonts w:ascii="Times New Roman" w:hAnsi="Times New Roman" w:cs="Times New Roman"/>
          <w:sz w:val="28"/>
          <w:szCs w:val="28"/>
        </w:rPr>
        <w:t xml:space="preserve"> разъяснении положений статьи 5 </w:t>
      </w:r>
      <w:r w:rsidRPr="0062691F">
        <w:rPr>
          <w:rFonts w:ascii="Times New Roman" w:hAnsi="Times New Roman" w:cs="Times New Roman"/>
          <w:sz w:val="28"/>
          <w:szCs w:val="28"/>
        </w:rPr>
        <w:t>Соглашения об определении таможенной стоимости товаров»</w:t>
      </w:r>
      <w:r>
        <w:rPr>
          <w:rFonts w:ascii="Times New Roman" w:hAnsi="Times New Roman" w:cs="Times New Roman"/>
          <w:sz w:val="28"/>
          <w:szCs w:val="28"/>
        </w:rPr>
        <w:t xml:space="preserve"> говорится о том, что к расходам по перевозке до места прибытия на таможенную территорию Союза относятся все расходы, связанные </w:t>
      </w:r>
      <w:r>
        <w:rPr>
          <w:rFonts w:ascii="Times New Roman" w:hAnsi="Times New Roman" w:cs="Times New Roman"/>
          <w:sz w:val="28"/>
          <w:szCs w:val="28"/>
        </w:rPr>
        <w:lastRenderedPageBreak/>
        <w:t xml:space="preserve">с организацией перевозки, в том числе и вознаграждение посредникам за организацию транспортировки. Однако данное письмо ссылается на </w:t>
      </w:r>
      <w:r w:rsidRPr="00C06374">
        <w:rPr>
          <w:rFonts w:ascii="Times New Roman" w:hAnsi="Times New Roman" w:cs="Times New Roman"/>
          <w:sz w:val="28"/>
          <w:szCs w:val="28"/>
        </w:rPr>
        <w:t>Сог</w:t>
      </w:r>
      <w:r>
        <w:rPr>
          <w:rFonts w:ascii="Times New Roman" w:hAnsi="Times New Roman" w:cs="Times New Roman"/>
          <w:sz w:val="28"/>
          <w:szCs w:val="28"/>
        </w:rPr>
        <w:t>лашение от 25 января 2008 г. «О</w:t>
      </w:r>
      <w:r w:rsidRPr="00C06374">
        <w:rPr>
          <w:rFonts w:ascii="Times New Roman" w:hAnsi="Times New Roman" w:cs="Times New Roman"/>
          <w:sz w:val="28"/>
          <w:szCs w:val="28"/>
        </w:rPr>
        <w:t>б определени</w:t>
      </w:r>
      <w:r>
        <w:rPr>
          <w:rFonts w:ascii="Times New Roman" w:hAnsi="Times New Roman" w:cs="Times New Roman"/>
          <w:sz w:val="28"/>
          <w:szCs w:val="28"/>
        </w:rPr>
        <w:t xml:space="preserve">и таможенной стоимости товаров, </w:t>
      </w:r>
      <w:r w:rsidRPr="00C06374">
        <w:rPr>
          <w:rFonts w:ascii="Times New Roman" w:hAnsi="Times New Roman" w:cs="Times New Roman"/>
          <w:sz w:val="28"/>
          <w:szCs w:val="28"/>
        </w:rPr>
        <w:t>перемещаемых через таможенную границу таможенного союза»</w:t>
      </w:r>
      <w:r>
        <w:rPr>
          <w:rFonts w:ascii="Times New Roman" w:hAnsi="Times New Roman" w:cs="Times New Roman"/>
          <w:sz w:val="28"/>
          <w:szCs w:val="28"/>
        </w:rPr>
        <w:t>, которое утратило силу. Таким образом, на сегодняшний день отсутствует четкая законодательная позиция о необходимости включения вознаграждения экспедитору. Также отсутствует положение о том, в каком размере необходимо это делать: стоит ли включать данное вознаграждение в полном объеме или необходимо рассчитывать его пропорционально транспортным расходам до места прибытия товаров.</w:t>
      </w:r>
    </w:p>
    <w:p w14:paraId="290F8C72" w14:textId="77777777" w:rsidR="005D224E" w:rsidRPr="005A0160"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Решением данной проблемы является создание нормативного документа на наднациональном уровне, который регулировал данный вопрос. При создании такого документа необходимо уточнить моменты с порядком предоставления документов </w:t>
      </w:r>
      <w:r w:rsidRPr="005A0160">
        <w:rPr>
          <w:rFonts w:ascii="Times New Roman" w:hAnsi="Times New Roman" w:cs="Times New Roman"/>
          <w:sz w:val="28"/>
          <w:szCs w:val="28"/>
        </w:rPr>
        <w:t>и как должны учитываться расходы на организацию таких перевозок.</w:t>
      </w:r>
    </w:p>
    <w:p w14:paraId="548BB29A" w14:textId="77777777" w:rsidR="005D224E" w:rsidRPr="00E03247"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Для выполнения третьего условия для применения метода, необходимо, чтобы никакая часть дохода или выручки от последующей продажи не причиталась продавцу, кроме случаев, когда могут быть произведены дополнительные начисления. Здесь нужно отметить случаи, когда есть необходимость для выплаты лицензионных платежей. В этой ситуации для того, чтобы применить метод по стоимости сделки с ввозимыми товарами, сумма лицензионных платежей должна быть указана в контракте именно в денежных единицах, но не в процентах. В ином случае участник ВЭД столкнется с невозможностью применения данного метода.</w:t>
      </w:r>
    </w:p>
    <w:p w14:paraId="0E4F98D6" w14:textId="77777777" w:rsidR="005D224E"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 xml:space="preserve">Также трудности могут возникнуть в связи с четвертым условием, по которому взаимосвязь покупателя и продавца не должна повлиять на стоимость сделки. Исходя из законодательства существует четыре способа, которые можно использовать, чтобы доказать отсутствие такого влияния. Первый выход для декларанта – предоставление прайс-листа, чтобы подтвердить, что по данной цене может приобрести любой желающий. Второй – это использование </w:t>
      </w:r>
      <w:r w:rsidRPr="00E03247">
        <w:rPr>
          <w:rFonts w:ascii="Times New Roman" w:hAnsi="Times New Roman" w:cs="Times New Roman"/>
          <w:sz w:val="28"/>
          <w:szCs w:val="28"/>
        </w:rPr>
        <w:lastRenderedPageBreak/>
        <w:t>стоимость идентичных товаров. В этом случае необходимо учесть все особенности, по которым товар может быть признан идентичным. Они обязательно должны быть произведены в той же стране, что и оцениваемые товары, и иметь незначительные расхождения по внешнему виду. Третий – использование однородных товаров. Тут необходимо знать, что признание такого товара однородным будет зависеть от качества, репутации, а также наличия товарного знака. Если предыдущие три способа не подходят, то последним вариантом является предоставление расчетов, по которым была установлена цена. Важно отразить в данных расчетах себестоимость продукции, планируемую прибыль и расходы.</w:t>
      </w:r>
    </w:p>
    <w:p w14:paraId="1EA709E2"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При применении метода 2 и метода 3 может возникнуть трудность</w:t>
      </w:r>
      <w:r w:rsidRPr="00570D77">
        <w:rPr>
          <w:rFonts w:ascii="Times New Roman" w:hAnsi="Times New Roman" w:cs="Times New Roman"/>
          <w:sz w:val="28"/>
          <w:szCs w:val="28"/>
        </w:rPr>
        <w:t xml:space="preserve"> </w:t>
      </w:r>
      <w:r>
        <w:rPr>
          <w:rFonts w:ascii="Times New Roman" w:hAnsi="Times New Roman" w:cs="Times New Roman"/>
          <w:sz w:val="28"/>
          <w:szCs w:val="28"/>
        </w:rPr>
        <w:t xml:space="preserve">с применением курса валюты при осуществлении корректировке на разницу в расходах на транспорт, страховку, а также при корректировке разницы в количестве товара. </w:t>
      </w:r>
    </w:p>
    <w:p w14:paraId="0932E92A"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корректного применения данных методов необходимо использовать Решение КЕЭК от 30.10.2012 № 202 </w:t>
      </w:r>
      <w:r w:rsidRPr="006B210E">
        <w:rPr>
          <w:rFonts w:ascii="Times New Roman" w:hAnsi="Times New Roman" w:cs="Times New Roman"/>
          <w:sz w:val="28"/>
          <w:szCs w:val="28"/>
        </w:rPr>
        <w:t>«О применении методов определения таможенной стоимости товаров по стоимости сделки с идентичными товарами (метод 2) и по стоимости сделки с однородными товарами (метод 3)»</w:t>
      </w:r>
      <w:r>
        <w:rPr>
          <w:rFonts w:ascii="Times New Roman" w:hAnsi="Times New Roman" w:cs="Times New Roman"/>
          <w:sz w:val="28"/>
          <w:szCs w:val="28"/>
        </w:rPr>
        <w:t xml:space="preserve">. В РКЕЭК №202 отсутствует методология расчета корректировки транспортных, страховых расходов и количества с указанием того, какой курс иностранной валюты следует применять при расчете данных величин. В соответствии с положениями второго абзаца пункта 8 статьи 38 ТК ЕАЭС для пересчета иностранной валюты в валюту государства-члена применяется </w:t>
      </w:r>
      <w:proofErr w:type="gramStart"/>
      <w:r>
        <w:rPr>
          <w:rFonts w:ascii="Times New Roman" w:hAnsi="Times New Roman" w:cs="Times New Roman"/>
          <w:sz w:val="28"/>
          <w:szCs w:val="28"/>
        </w:rPr>
        <w:t>курс</w:t>
      </w:r>
      <w:proofErr w:type="gramEnd"/>
      <w:r>
        <w:rPr>
          <w:rFonts w:ascii="Times New Roman" w:hAnsi="Times New Roman" w:cs="Times New Roman"/>
          <w:sz w:val="28"/>
          <w:szCs w:val="28"/>
        </w:rPr>
        <w:t xml:space="preserve"> действующий на день регистрации ДТ. Данный пункт можно трактовать по-разному. Первый вариант: для идентичного или однородного товара берётся курс, который был установлен Центральным Банком РФ на день регистрации декларации идентичного или однородного товара, а для оцениваемого на день регистрации ДТ на оцениваемый товар соответственно. Второй вариант, как для оцениваемого, так и для идентичного или однородного товара берётся курс на день регистрации ДТ оцениваемого товара. Исходя из этого предлагается два варианта расчёта </w:t>
      </w:r>
      <w:r>
        <w:rPr>
          <w:rFonts w:ascii="Times New Roman" w:hAnsi="Times New Roman" w:cs="Times New Roman"/>
          <w:sz w:val="28"/>
          <w:szCs w:val="28"/>
        </w:rPr>
        <w:lastRenderedPageBreak/>
        <w:t>таможенной стоимости. В первом варианте транспортные и страховые расходы однородного товара пересчитываются в валюту государства-члена по курсу, который был установлен на день регистрации ДТС-1, а расходы оцениваемого товара по курсу, действующему на день подачи ДТ и ДТС-2. Второй вариант предполагает расчет расходов с курсом, который будет применяться для ДТС-2 как для оцениваемого, так и для однородного товаров.</w:t>
      </w:r>
    </w:p>
    <w:p w14:paraId="01279D5E" w14:textId="78AB848A" w:rsidR="005D224E" w:rsidRPr="00256B12"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Рассмотрим оба способа расчета корректировок на примере. Допустим, ввозится товар в рамках безвозмездной поставки для детского дома, который находится в Москве. Таможенная стоимость товара определяется по методу стоимости сделки с однородными товарами, дата подачи ДТ и ДТС – 11 марта 2022 года. Для целей применения данного метода берется идентичный товар (1000 шт.), таможенная стоимость которого была определена по методу 1, ввезенный 11 ноября 2021 года. </w:t>
      </w:r>
    </w:p>
    <w:p w14:paraId="39B8BEC7" w14:textId="4BA505C9" w:rsidR="005D224E" w:rsidRDefault="005D224E" w:rsidP="005D224E">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w:t>
      </w:r>
      <w:r w:rsidR="007560C7">
        <w:rPr>
          <w:rFonts w:ascii="Times New Roman" w:hAnsi="Times New Roman" w:cs="Times New Roman"/>
          <w:sz w:val="28"/>
          <w:szCs w:val="28"/>
        </w:rPr>
        <w:t>9</w:t>
      </w:r>
      <w:r>
        <w:rPr>
          <w:rFonts w:ascii="Times New Roman" w:hAnsi="Times New Roman" w:cs="Times New Roman"/>
          <w:sz w:val="28"/>
          <w:szCs w:val="28"/>
        </w:rPr>
        <w:t>.</w:t>
      </w:r>
    </w:p>
    <w:p w14:paraId="7F7BB87F" w14:textId="77777777" w:rsidR="005D224E" w:rsidRDefault="005D224E" w:rsidP="005D224E">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Ситуация для применения метода по стоимости сделки с однородными товарами</w:t>
      </w:r>
    </w:p>
    <w:p w14:paraId="4861E908" w14:textId="77777777" w:rsidR="005D224E" w:rsidRDefault="005D224E" w:rsidP="005D224E">
      <w:pPr>
        <w:spacing w:after="0" w:line="360" w:lineRule="auto"/>
        <w:ind w:firstLine="709"/>
        <w:jc w:val="center"/>
        <w:rPr>
          <w:rFonts w:ascii="Times New Roman" w:hAnsi="Times New Roman" w:cs="Times New Roman"/>
          <w:sz w:val="28"/>
          <w:szCs w:val="28"/>
        </w:rPr>
      </w:pPr>
    </w:p>
    <w:tbl>
      <w:tblPr>
        <w:tblStyle w:val="a8"/>
        <w:tblW w:w="0" w:type="auto"/>
        <w:tblLook w:val="04A0" w:firstRow="1" w:lastRow="0" w:firstColumn="1" w:lastColumn="0" w:noHBand="0" w:noVBand="1"/>
      </w:tblPr>
      <w:tblGrid>
        <w:gridCol w:w="3225"/>
        <w:gridCol w:w="3205"/>
        <w:gridCol w:w="3197"/>
      </w:tblGrid>
      <w:tr w:rsidR="005D224E" w:rsidRPr="00E937DC" w14:paraId="7C131D8B" w14:textId="77777777" w:rsidTr="008B1391">
        <w:tc>
          <w:tcPr>
            <w:tcW w:w="3303" w:type="dxa"/>
          </w:tcPr>
          <w:p w14:paraId="6F35AC59" w14:textId="77777777" w:rsidR="005D224E" w:rsidRPr="00E937DC" w:rsidRDefault="005D224E" w:rsidP="00561BA2">
            <w:pPr>
              <w:spacing w:line="264" w:lineRule="auto"/>
              <w:jc w:val="center"/>
              <w:rPr>
                <w:rFonts w:ascii="Times New Roman" w:hAnsi="Times New Roman" w:cs="Times New Roman"/>
                <w:sz w:val="24"/>
                <w:szCs w:val="24"/>
              </w:rPr>
            </w:pPr>
            <w:r>
              <w:rPr>
                <w:rFonts w:ascii="Times New Roman" w:hAnsi="Times New Roman" w:cs="Times New Roman"/>
                <w:sz w:val="24"/>
                <w:szCs w:val="24"/>
              </w:rPr>
              <w:t>Данные о товаре</w:t>
            </w:r>
          </w:p>
        </w:tc>
        <w:tc>
          <w:tcPr>
            <w:tcW w:w="3304" w:type="dxa"/>
          </w:tcPr>
          <w:p w14:paraId="7921C75E" w14:textId="77777777" w:rsidR="005D224E" w:rsidRPr="00E937DC" w:rsidRDefault="005D224E" w:rsidP="00561BA2">
            <w:pPr>
              <w:spacing w:line="264" w:lineRule="auto"/>
              <w:jc w:val="center"/>
              <w:rPr>
                <w:rFonts w:ascii="Times New Roman" w:hAnsi="Times New Roman" w:cs="Times New Roman"/>
                <w:sz w:val="24"/>
                <w:szCs w:val="24"/>
              </w:rPr>
            </w:pPr>
            <w:r w:rsidRPr="00E937DC">
              <w:rPr>
                <w:rFonts w:ascii="Times New Roman" w:hAnsi="Times New Roman" w:cs="Times New Roman"/>
                <w:sz w:val="24"/>
                <w:szCs w:val="24"/>
              </w:rPr>
              <w:t>Ввозимый (оцениваемый товар)</w:t>
            </w:r>
          </w:p>
        </w:tc>
        <w:tc>
          <w:tcPr>
            <w:tcW w:w="3304" w:type="dxa"/>
          </w:tcPr>
          <w:p w14:paraId="1FEA56DD" w14:textId="77777777" w:rsidR="005D224E" w:rsidRPr="00E937DC" w:rsidRDefault="005D224E" w:rsidP="00561BA2">
            <w:pPr>
              <w:spacing w:line="264" w:lineRule="auto"/>
              <w:jc w:val="center"/>
              <w:rPr>
                <w:rFonts w:ascii="Times New Roman" w:hAnsi="Times New Roman" w:cs="Times New Roman"/>
                <w:sz w:val="24"/>
                <w:szCs w:val="24"/>
              </w:rPr>
            </w:pPr>
            <w:r w:rsidRPr="00E937DC">
              <w:rPr>
                <w:rFonts w:ascii="Times New Roman" w:hAnsi="Times New Roman" w:cs="Times New Roman"/>
                <w:sz w:val="24"/>
                <w:szCs w:val="24"/>
              </w:rPr>
              <w:t>Однородный товар</w:t>
            </w:r>
          </w:p>
        </w:tc>
      </w:tr>
      <w:tr w:rsidR="005D224E" w:rsidRPr="00E937DC" w14:paraId="59434193" w14:textId="77777777" w:rsidTr="008B1391">
        <w:tc>
          <w:tcPr>
            <w:tcW w:w="3303" w:type="dxa"/>
          </w:tcPr>
          <w:p w14:paraId="046165B8" w14:textId="77777777" w:rsidR="005D224E" w:rsidRPr="00E937DC" w:rsidRDefault="005D224E" w:rsidP="00561BA2">
            <w:pPr>
              <w:spacing w:line="264" w:lineRule="auto"/>
              <w:jc w:val="center"/>
              <w:rPr>
                <w:rFonts w:ascii="Times New Roman" w:hAnsi="Times New Roman" w:cs="Times New Roman"/>
                <w:sz w:val="24"/>
                <w:szCs w:val="24"/>
              </w:rPr>
            </w:pPr>
            <w:r w:rsidRPr="00E937DC">
              <w:rPr>
                <w:rFonts w:ascii="Times New Roman" w:hAnsi="Times New Roman" w:cs="Times New Roman"/>
                <w:sz w:val="24"/>
                <w:szCs w:val="24"/>
              </w:rPr>
              <w:t>Дата ввоза</w:t>
            </w:r>
          </w:p>
        </w:tc>
        <w:tc>
          <w:tcPr>
            <w:tcW w:w="3304" w:type="dxa"/>
          </w:tcPr>
          <w:p w14:paraId="27880003" w14:textId="77777777" w:rsidR="005D224E" w:rsidRPr="00E937DC" w:rsidRDefault="005D224E" w:rsidP="00561BA2">
            <w:pPr>
              <w:spacing w:line="264" w:lineRule="auto"/>
              <w:jc w:val="center"/>
              <w:rPr>
                <w:rFonts w:ascii="Times New Roman" w:hAnsi="Times New Roman" w:cs="Times New Roman"/>
                <w:sz w:val="24"/>
                <w:szCs w:val="24"/>
              </w:rPr>
            </w:pPr>
            <w:r>
              <w:rPr>
                <w:rFonts w:ascii="Times New Roman" w:hAnsi="Times New Roman" w:cs="Times New Roman"/>
                <w:sz w:val="24"/>
                <w:szCs w:val="24"/>
              </w:rPr>
              <w:t>11.03.2022</w:t>
            </w:r>
          </w:p>
        </w:tc>
        <w:tc>
          <w:tcPr>
            <w:tcW w:w="3304" w:type="dxa"/>
          </w:tcPr>
          <w:p w14:paraId="27754776" w14:textId="77777777" w:rsidR="005D224E" w:rsidRPr="00E937DC" w:rsidRDefault="005D224E" w:rsidP="00561BA2">
            <w:pPr>
              <w:spacing w:line="264" w:lineRule="auto"/>
              <w:jc w:val="center"/>
              <w:rPr>
                <w:rFonts w:ascii="Times New Roman" w:hAnsi="Times New Roman" w:cs="Times New Roman"/>
                <w:sz w:val="24"/>
                <w:szCs w:val="24"/>
              </w:rPr>
            </w:pPr>
            <w:r>
              <w:rPr>
                <w:rFonts w:ascii="Times New Roman" w:hAnsi="Times New Roman" w:cs="Times New Roman"/>
                <w:sz w:val="24"/>
                <w:szCs w:val="24"/>
              </w:rPr>
              <w:t>11.11.2021</w:t>
            </w:r>
          </w:p>
        </w:tc>
      </w:tr>
      <w:tr w:rsidR="005D224E" w:rsidRPr="00E937DC" w14:paraId="1C0DE12C" w14:textId="77777777" w:rsidTr="008B1391">
        <w:tc>
          <w:tcPr>
            <w:tcW w:w="3303" w:type="dxa"/>
          </w:tcPr>
          <w:p w14:paraId="043777BA" w14:textId="77777777" w:rsidR="005D224E" w:rsidRPr="00E937DC" w:rsidRDefault="005D224E" w:rsidP="00561BA2">
            <w:pPr>
              <w:spacing w:line="264" w:lineRule="auto"/>
              <w:jc w:val="center"/>
              <w:rPr>
                <w:rFonts w:ascii="Times New Roman" w:hAnsi="Times New Roman" w:cs="Times New Roman"/>
                <w:sz w:val="24"/>
                <w:szCs w:val="24"/>
              </w:rPr>
            </w:pPr>
            <w:r w:rsidRPr="00E937DC">
              <w:rPr>
                <w:rFonts w:ascii="Times New Roman" w:hAnsi="Times New Roman" w:cs="Times New Roman"/>
                <w:sz w:val="24"/>
                <w:szCs w:val="24"/>
              </w:rPr>
              <w:t>Курс доллара</w:t>
            </w:r>
            <w:r>
              <w:rPr>
                <w:rFonts w:ascii="Times New Roman" w:hAnsi="Times New Roman" w:cs="Times New Roman"/>
                <w:sz w:val="24"/>
                <w:szCs w:val="24"/>
              </w:rPr>
              <w:t xml:space="preserve"> США</w:t>
            </w:r>
          </w:p>
        </w:tc>
        <w:tc>
          <w:tcPr>
            <w:tcW w:w="3304" w:type="dxa"/>
          </w:tcPr>
          <w:p w14:paraId="5EF8CD72" w14:textId="77777777" w:rsidR="005D224E" w:rsidRPr="00E937DC" w:rsidRDefault="005D224E" w:rsidP="00561BA2">
            <w:pPr>
              <w:spacing w:line="264" w:lineRule="auto"/>
              <w:jc w:val="center"/>
              <w:rPr>
                <w:rFonts w:ascii="Times New Roman" w:hAnsi="Times New Roman" w:cs="Times New Roman"/>
                <w:sz w:val="24"/>
                <w:szCs w:val="24"/>
              </w:rPr>
            </w:pPr>
            <w:r>
              <w:rPr>
                <w:rFonts w:ascii="Times New Roman" w:hAnsi="Times New Roman" w:cs="Times New Roman"/>
                <w:sz w:val="24"/>
                <w:szCs w:val="24"/>
              </w:rPr>
              <w:t>120,3785</w:t>
            </w:r>
          </w:p>
        </w:tc>
        <w:tc>
          <w:tcPr>
            <w:tcW w:w="3304" w:type="dxa"/>
          </w:tcPr>
          <w:p w14:paraId="09EE7512" w14:textId="77777777" w:rsidR="005D224E" w:rsidRPr="00E937DC" w:rsidRDefault="005D224E" w:rsidP="00561BA2">
            <w:pPr>
              <w:spacing w:line="264" w:lineRule="auto"/>
              <w:jc w:val="center"/>
              <w:rPr>
                <w:rFonts w:ascii="Times New Roman" w:hAnsi="Times New Roman" w:cs="Times New Roman"/>
                <w:sz w:val="24"/>
                <w:szCs w:val="24"/>
              </w:rPr>
            </w:pPr>
            <w:r>
              <w:rPr>
                <w:rFonts w:ascii="Times New Roman" w:hAnsi="Times New Roman" w:cs="Times New Roman"/>
                <w:sz w:val="24"/>
                <w:szCs w:val="24"/>
              </w:rPr>
              <w:t>70,6950</w:t>
            </w:r>
          </w:p>
        </w:tc>
      </w:tr>
      <w:tr w:rsidR="005D224E" w:rsidRPr="00E937DC" w14:paraId="46301F5F" w14:textId="77777777" w:rsidTr="008B1391">
        <w:tc>
          <w:tcPr>
            <w:tcW w:w="3303" w:type="dxa"/>
          </w:tcPr>
          <w:p w14:paraId="5B842036" w14:textId="77777777" w:rsidR="005D224E" w:rsidRPr="00E937DC" w:rsidRDefault="005D224E" w:rsidP="00561BA2">
            <w:pPr>
              <w:spacing w:line="264" w:lineRule="auto"/>
              <w:jc w:val="center"/>
              <w:rPr>
                <w:rFonts w:ascii="Times New Roman" w:hAnsi="Times New Roman" w:cs="Times New Roman"/>
                <w:sz w:val="24"/>
                <w:szCs w:val="24"/>
              </w:rPr>
            </w:pPr>
            <w:r w:rsidRPr="00E937DC">
              <w:rPr>
                <w:rFonts w:ascii="Times New Roman" w:hAnsi="Times New Roman" w:cs="Times New Roman"/>
                <w:sz w:val="24"/>
                <w:szCs w:val="24"/>
              </w:rPr>
              <w:t>Цена</w:t>
            </w:r>
          </w:p>
        </w:tc>
        <w:tc>
          <w:tcPr>
            <w:tcW w:w="3304" w:type="dxa"/>
          </w:tcPr>
          <w:p w14:paraId="76D49F8A" w14:textId="77777777" w:rsidR="005D224E" w:rsidRPr="00E937DC" w:rsidRDefault="005D224E" w:rsidP="00561BA2">
            <w:pPr>
              <w:spacing w:line="264" w:lineRule="auto"/>
              <w:jc w:val="center"/>
              <w:rPr>
                <w:rFonts w:ascii="Times New Roman" w:hAnsi="Times New Roman" w:cs="Times New Roman"/>
                <w:sz w:val="24"/>
                <w:szCs w:val="24"/>
              </w:rPr>
            </w:pPr>
            <w:r w:rsidRPr="00E937DC">
              <w:rPr>
                <w:rFonts w:ascii="Times New Roman" w:hAnsi="Times New Roman" w:cs="Times New Roman"/>
                <w:sz w:val="24"/>
                <w:szCs w:val="24"/>
              </w:rPr>
              <w:t>- цена за 1 пару обуви при продаже товарной партии в объеме до 100 пар – 40 долл. США;</w:t>
            </w:r>
          </w:p>
          <w:p w14:paraId="55F96EDD" w14:textId="77777777" w:rsidR="005D224E" w:rsidRPr="00E937DC" w:rsidRDefault="005D224E" w:rsidP="00561BA2">
            <w:pPr>
              <w:spacing w:line="264" w:lineRule="auto"/>
              <w:jc w:val="center"/>
              <w:rPr>
                <w:rFonts w:ascii="Times New Roman" w:hAnsi="Times New Roman" w:cs="Times New Roman"/>
                <w:sz w:val="24"/>
                <w:szCs w:val="24"/>
              </w:rPr>
            </w:pPr>
            <w:r w:rsidRPr="00E937DC">
              <w:rPr>
                <w:rFonts w:ascii="Times New Roman" w:hAnsi="Times New Roman" w:cs="Times New Roman"/>
                <w:sz w:val="24"/>
                <w:szCs w:val="24"/>
              </w:rPr>
              <w:t>- цена за 1 пару обуви при продаже товарной партии в объеме более 100 пар – 30 долл. США.</w:t>
            </w:r>
          </w:p>
          <w:p w14:paraId="5D1EE655" w14:textId="77777777" w:rsidR="005D224E" w:rsidRPr="00E937DC" w:rsidRDefault="005D224E" w:rsidP="00561BA2">
            <w:pPr>
              <w:spacing w:line="264" w:lineRule="auto"/>
              <w:jc w:val="center"/>
              <w:rPr>
                <w:rFonts w:ascii="Times New Roman" w:hAnsi="Times New Roman" w:cs="Times New Roman"/>
                <w:sz w:val="24"/>
                <w:szCs w:val="24"/>
              </w:rPr>
            </w:pPr>
          </w:p>
        </w:tc>
        <w:tc>
          <w:tcPr>
            <w:tcW w:w="3304" w:type="dxa"/>
          </w:tcPr>
          <w:p w14:paraId="057720C0" w14:textId="77777777" w:rsidR="005D224E" w:rsidRPr="00E937DC" w:rsidRDefault="005D224E" w:rsidP="00561BA2">
            <w:pPr>
              <w:spacing w:line="264" w:lineRule="auto"/>
              <w:jc w:val="center"/>
              <w:rPr>
                <w:rFonts w:ascii="Times New Roman" w:hAnsi="Times New Roman" w:cs="Times New Roman"/>
                <w:sz w:val="24"/>
                <w:szCs w:val="24"/>
              </w:rPr>
            </w:pPr>
            <w:r>
              <w:rPr>
                <w:rFonts w:ascii="Times New Roman" w:hAnsi="Times New Roman" w:cs="Times New Roman"/>
                <w:sz w:val="24"/>
                <w:szCs w:val="24"/>
              </w:rPr>
              <w:t>30 долл. США за 1 пару</w:t>
            </w:r>
          </w:p>
        </w:tc>
      </w:tr>
      <w:tr w:rsidR="005D224E" w:rsidRPr="00E937DC" w14:paraId="1B84394F" w14:textId="77777777" w:rsidTr="008B1391">
        <w:tc>
          <w:tcPr>
            <w:tcW w:w="3303" w:type="dxa"/>
          </w:tcPr>
          <w:p w14:paraId="3F304D23" w14:textId="77777777" w:rsidR="005D224E" w:rsidRPr="00E937DC" w:rsidRDefault="005D224E" w:rsidP="00561BA2">
            <w:pPr>
              <w:spacing w:line="264" w:lineRule="auto"/>
              <w:jc w:val="center"/>
              <w:rPr>
                <w:rFonts w:ascii="Times New Roman" w:hAnsi="Times New Roman" w:cs="Times New Roman"/>
                <w:sz w:val="24"/>
                <w:szCs w:val="24"/>
              </w:rPr>
            </w:pPr>
            <w:r w:rsidRPr="00E937DC">
              <w:rPr>
                <w:rFonts w:ascii="Times New Roman" w:hAnsi="Times New Roman" w:cs="Times New Roman"/>
                <w:sz w:val="24"/>
                <w:szCs w:val="24"/>
              </w:rPr>
              <w:t>Страна происхождения</w:t>
            </w:r>
          </w:p>
        </w:tc>
        <w:tc>
          <w:tcPr>
            <w:tcW w:w="3304" w:type="dxa"/>
          </w:tcPr>
          <w:p w14:paraId="3B0C1873" w14:textId="77777777" w:rsidR="005D224E" w:rsidRPr="00E937DC" w:rsidRDefault="005D224E" w:rsidP="00561BA2">
            <w:pPr>
              <w:spacing w:line="264" w:lineRule="auto"/>
              <w:jc w:val="center"/>
              <w:rPr>
                <w:rFonts w:ascii="Times New Roman" w:hAnsi="Times New Roman" w:cs="Times New Roman"/>
                <w:sz w:val="24"/>
                <w:szCs w:val="24"/>
              </w:rPr>
            </w:pPr>
            <w:r>
              <w:rPr>
                <w:rFonts w:ascii="Times New Roman" w:hAnsi="Times New Roman" w:cs="Times New Roman"/>
                <w:sz w:val="24"/>
                <w:szCs w:val="24"/>
              </w:rPr>
              <w:t>Китай</w:t>
            </w:r>
          </w:p>
        </w:tc>
        <w:tc>
          <w:tcPr>
            <w:tcW w:w="3304" w:type="dxa"/>
          </w:tcPr>
          <w:p w14:paraId="5A12BA5C" w14:textId="77777777" w:rsidR="005D224E" w:rsidRPr="00E937DC" w:rsidRDefault="005D224E" w:rsidP="00561BA2">
            <w:pPr>
              <w:spacing w:line="264" w:lineRule="auto"/>
              <w:jc w:val="center"/>
              <w:rPr>
                <w:rFonts w:ascii="Times New Roman" w:hAnsi="Times New Roman" w:cs="Times New Roman"/>
                <w:sz w:val="24"/>
                <w:szCs w:val="24"/>
              </w:rPr>
            </w:pPr>
            <w:r>
              <w:rPr>
                <w:rFonts w:ascii="Times New Roman" w:hAnsi="Times New Roman" w:cs="Times New Roman"/>
                <w:sz w:val="24"/>
                <w:szCs w:val="24"/>
              </w:rPr>
              <w:t>Китай</w:t>
            </w:r>
          </w:p>
        </w:tc>
      </w:tr>
      <w:tr w:rsidR="005D224E" w:rsidRPr="00E937DC" w14:paraId="407F2D53" w14:textId="77777777" w:rsidTr="008B1391">
        <w:tc>
          <w:tcPr>
            <w:tcW w:w="3303" w:type="dxa"/>
          </w:tcPr>
          <w:p w14:paraId="3A975607" w14:textId="77777777" w:rsidR="005D224E" w:rsidRPr="00E937DC" w:rsidRDefault="005D224E" w:rsidP="00561BA2">
            <w:pPr>
              <w:spacing w:line="264" w:lineRule="auto"/>
              <w:jc w:val="center"/>
              <w:rPr>
                <w:rFonts w:ascii="Times New Roman" w:hAnsi="Times New Roman" w:cs="Times New Roman"/>
                <w:sz w:val="24"/>
                <w:szCs w:val="24"/>
              </w:rPr>
            </w:pPr>
            <w:r w:rsidRPr="00E937DC">
              <w:rPr>
                <w:rFonts w:ascii="Times New Roman" w:hAnsi="Times New Roman" w:cs="Times New Roman"/>
                <w:sz w:val="24"/>
                <w:szCs w:val="24"/>
              </w:rPr>
              <w:t>Условия поставки</w:t>
            </w:r>
          </w:p>
        </w:tc>
        <w:tc>
          <w:tcPr>
            <w:tcW w:w="3304" w:type="dxa"/>
          </w:tcPr>
          <w:p w14:paraId="5ACC2B93" w14:textId="77777777" w:rsidR="005D224E" w:rsidRPr="00E937DC" w:rsidRDefault="005D224E" w:rsidP="00561BA2">
            <w:pPr>
              <w:spacing w:line="264" w:lineRule="auto"/>
              <w:jc w:val="center"/>
              <w:rPr>
                <w:rFonts w:ascii="Times New Roman" w:hAnsi="Times New Roman" w:cs="Times New Roman"/>
                <w:sz w:val="24"/>
                <w:szCs w:val="24"/>
              </w:rPr>
            </w:pPr>
            <w:r w:rsidRPr="00E937DC">
              <w:rPr>
                <w:rFonts w:ascii="Times New Roman" w:hAnsi="Times New Roman" w:cs="Times New Roman"/>
                <w:sz w:val="24"/>
                <w:szCs w:val="24"/>
                <w:lang w:val="en-US"/>
              </w:rPr>
              <w:t>FCA</w:t>
            </w:r>
            <w:r w:rsidRPr="00E937DC">
              <w:rPr>
                <w:rFonts w:ascii="Times New Roman" w:hAnsi="Times New Roman" w:cs="Times New Roman"/>
                <w:sz w:val="24"/>
                <w:szCs w:val="24"/>
              </w:rPr>
              <w:t xml:space="preserve"> – Пекин</w:t>
            </w:r>
          </w:p>
        </w:tc>
        <w:tc>
          <w:tcPr>
            <w:tcW w:w="3304" w:type="dxa"/>
          </w:tcPr>
          <w:p w14:paraId="65B088DB" w14:textId="77777777" w:rsidR="005D224E" w:rsidRPr="00E937DC" w:rsidRDefault="005D224E" w:rsidP="00561BA2">
            <w:pPr>
              <w:spacing w:line="264" w:lineRule="auto"/>
              <w:jc w:val="center"/>
              <w:rPr>
                <w:rFonts w:ascii="Times New Roman" w:hAnsi="Times New Roman" w:cs="Times New Roman"/>
                <w:sz w:val="24"/>
                <w:szCs w:val="24"/>
              </w:rPr>
            </w:pPr>
            <w:r w:rsidRPr="00E937DC">
              <w:rPr>
                <w:rFonts w:ascii="Times New Roman" w:hAnsi="Times New Roman" w:cs="Times New Roman"/>
                <w:sz w:val="24"/>
                <w:szCs w:val="24"/>
                <w:lang w:val="en-US"/>
              </w:rPr>
              <w:t>FCA</w:t>
            </w:r>
            <w:r w:rsidRPr="00E937DC">
              <w:rPr>
                <w:rFonts w:ascii="Times New Roman" w:hAnsi="Times New Roman" w:cs="Times New Roman"/>
                <w:sz w:val="24"/>
                <w:szCs w:val="24"/>
              </w:rPr>
              <w:t xml:space="preserve"> – Пекин</w:t>
            </w:r>
          </w:p>
        </w:tc>
      </w:tr>
      <w:tr w:rsidR="005D224E" w:rsidRPr="00E937DC" w14:paraId="0E0444A6" w14:textId="77777777" w:rsidTr="008B1391">
        <w:tc>
          <w:tcPr>
            <w:tcW w:w="3303" w:type="dxa"/>
          </w:tcPr>
          <w:p w14:paraId="69FA94FA" w14:textId="77777777" w:rsidR="005D224E" w:rsidRPr="00E937DC" w:rsidRDefault="005D224E" w:rsidP="00561BA2">
            <w:pPr>
              <w:spacing w:line="264" w:lineRule="auto"/>
              <w:jc w:val="center"/>
              <w:rPr>
                <w:rFonts w:ascii="Times New Roman" w:hAnsi="Times New Roman" w:cs="Times New Roman"/>
                <w:sz w:val="24"/>
                <w:szCs w:val="24"/>
              </w:rPr>
            </w:pPr>
            <w:r w:rsidRPr="00E937DC">
              <w:rPr>
                <w:rFonts w:ascii="Times New Roman" w:hAnsi="Times New Roman" w:cs="Times New Roman"/>
                <w:sz w:val="24"/>
                <w:szCs w:val="24"/>
              </w:rPr>
              <w:t>Количество</w:t>
            </w:r>
          </w:p>
        </w:tc>
        <w:tc>
          <w:tcPr>
            <w:tcW w:w="3304" w:type="dxa"/>
          </w:tcPr>
          <w:p w14:paraId="4D323421" w14:textId="77777777" w:rsidR="005D224E" w:rsidRPr="00E937DC" w:rsidRDefault="005D224E" w:rsidP="00561BA2">
            <w:pPr>
              <w:spacing w:line="264" w:lineRule="auto"/>
              <w:jc w:val="center"/>
              <w:rPr>
                <w:rFonts w:ascii="Times New Roman" w:hAnsi="Times New Roman" w:cs="Times New Roman"/>
                <w:sz w:val="24"/>
                <w:szCs w:val="24"/>
              </w:rPr>
            </w:pPr>
            <w:r>
              <w:rPr>
                <w:rFonts w:ascii="Times New Roman" w:hAnsi="Times New Roman" w:cs="Times New Roman"/>
                <w:sz w:val="24"/>
                <w:szCs w:val="24"/>
              </w:rPr>
              <w:t>70 пар</w:t>
            </w:r>
          </w:p>
        </w:tc>
        <w:tc>
          <w:tcPr>
            <w:tcW w:w="3304" w:type="dxa"/>
          </w:tcPr>
          <w:p w14:paraId="1A06B2C1" w14:textId="77777777" w:rsidR="005D224E" w:rsidRPr="00E937DC" w:rsidRDefault="005D224E" w:rsidP="00561BA2">
            <w:pPr>
              <w:spacing w:line="264" w:lineRule="auto"/>
              <w:jc w:val="center"/>
              <w:rPr>
                <w:rFonts w:ascii="Times New Roman" w:hAnsi="Times New Roman" w:cs="Times New Roman"/>
                <w:sz w:val="24"/>
                <w:szCs w:val="24"/>
              </w:rPr>
            </w:pPr>
            <w:r>
              <w:rPr>
                <w:rFonts w:ascii="Times New Roman" w:hAnsi="Times New Roman" w:cs="Times New Roman"/>
                <w:sz w:val="24"/>
                <w:szCs w:val="24"/>
              </w:rPr>
              <w:t>1000 пар</w:t>
            </w:r>
          </w:p>
        </w:tc>
      </w:tr>
      <w:tr w:rsidR="005D224E" w:rsidRPr="00E937DC" w14:paraId="3C589DC6" w14:textId="77777777" w:rsidTr="008B1391">
        <w:tc>
          <w:tcPr>
            <w:tcW w:w="3303" w:type="dxa"/>
          </w:tcPr>
          <w:p w14:paraId="54CA4010" w14:textId="77777777" w:rsidR="005D224E" w:rsidRPr="00E937DC" w:rsidRDefault="005D224E" w:rsidP="00561BA2">
            <w:pPr>
              <w:spacing w:line="264" w:lineRule="auto"/>
              <w:jc w:val="center"/>
              <w:rPr>
                <w:rFonts w:ascii="Times New Roman" w:hAnsi="Times New Roman" w:cs="Times New Roman"/>
                <w:sz w:val="24"/>
                <w:szCs w:val="24"/>
              </w:rPr>
            </w:pPr>
            <w:r w:rsidRPr="00E937DC">
              <w:rPr>
                <w:rFonts w:ascii="Times New Roman" w:hAnsi="Times New Roman" w:cs="Times New Roman"/>
                <w:sz w:val="24"/>
                <w:szCs w:val="24"/>
              </w:rPr>
              <w:t>Транспортировка</w:t>
            </w:r>
          </w:p>
        </w:tc>
        <w:tc>
          <w:tcPr>
            <w:tcW w:w="3304" w:type="dxa"/>
          </w:tcPr>
          <w:p w14:paraId="6E0882A5" w14:textId="77777777" w:rsidR="005D224E" w:rsidRPr="00E937DC" w:rsidRDefault="005D224E" w:rsidP="00561BA2">
            <w:pPr>
              <w:spacing w:line="264" w:lineRule="auto"/>
              <w:jc w:val="center"/>
              <w:rPr>
                <w:rFonts w:ascii="Times New Roman" w:hAnsi="Times New Roman" w:cs="Times New Roman"/>
                <w:sz w:val="24"/>
                <w:szCs w:val="24"/>
              </w:rPr>
            </w:pPr>
            <w:r>
              <w:rPr>
                <w:rFonts w:ascii="Times New Roman" w:hAnsi="Times New Roman" w:cs="Times New Roman"/>
                <w:sz w:val="24"/>
                <w:szCs w:val="24"/>
              </w:rPr>
              <w:t>900 долл. США</w:t>
            </w:r>
          </w:p>
        </w:tc>
        <w:tc>
          <w:tcPr>
            <w:tcW w:w="3304" w:type="dxa"/>
          </w:tcPr>
          <w:p w14:paraId="5788F62A" w14:textId="77777777" w:rsidR="005D224E" w:rsidRPr="00E937DC" w:rsidRDefault="005D224E" w:rsidP="00561BA2">
            <w:pPr>
              <w:spacing w:line="264" w:lineRule="auto"/>
              <w:jc w:val="center"/>
              <w:rPr>
                <w:rFonts w:ascii="Times New Roman" w:hAnsi="Times New Roman" w:cs="Times New Roman"/>
                <w:sz w:val="24"/>
                <w:szCs w:val="24"/>
              </w:rPr>
            </w:pPr>
            <w:r>
              <w:rPr>
                <w:rFonts w:ascii="Times New Roman" w:hAnsi="Times New Roman" w:cs="Times New Roman"/>
                <w:sz w:val="24"/>
                <w:szCs w:val="24"/>
              </w:rPr>
              <w:t>1000 долл. США</w:t>
            </w:r>
          </w:p>
        </w:tc>
      </w:tr>
      <w:tr w:rsidR="005D224E" w:rsidRPr="00E937DC" w14:paraId="00A1E47A" w14:textId="77777777" w:rsidTr="008B1391">
        <w:tc>
          <w:tcPr>
            <w:tcW w:w="3303" w:type="dxa"/>
          </w:tcPr>
          <w:p w14:paraId="2EA979B7" w14:textId="77777777" w:rsidR="005D224E" w:rsidRPr="00E937DC" w:rsidRDefault="005D224E" w:rsidP="00561BA2">
            <w:pPr>
              <w:spacing w:line="264" w:lineRule="auto"/>
              <w:jc w:val="center"/>
              <w:rPr>
                <w:rFonts w:ascii="Times New Roman" w:hAnsi="Times New Roman" w:cs="Times New Roman"/>
                <w:sz w:val="24"/>
                <w:szCs w:val="24"/>
              </w:rPr>
            </w:pPr>
            <w:r w:rsidRPr="00E937DC">
              <w:rPr>
                <w:rFonts w:ascii="Times New Roman" w:hAnsi="Times New Roman" w:cs="Times New Roman"/>
                <w:sz w:val="24"/>
                <w:szCs w:val="24"/>
              </w:rPr>
              <w:t>Страховка</w:t>
            </w:r>
          </w:p>
        </w:tc>
        <w:tc>
          <w:tcPr>
            <w:tcW w:w="3304" w:type="dxa"/>
          </w:tcPr>
          <w:p w14:paraId="36AF3194" w14:textId="77777777" w:rsidR="005D224E" w:rsidRPr="00E937DC" w:rsidRDefault="005D224E" w:rsidP="00561BA2">
            <w:pPr>
              <w:spacing w:line="264" w:lineRule="auto"/>
              <w:jc w:val="center"/>
              <w:rPr>
                <w:rFonts w:ascii="Times New Roman" w:hAnsi="Times New Roman" w:cs="Times New Roman"/>
                <w:sz w:val="24"/>
                <w:szCs w:val="24"/>
              </w:rPr>
            </w:pPr>
            <w:r>
              <w:rPr>
                <w:rFonts w:ascii="Times New Roman" w:hAnsi="Times New Roman" w:cs="Times New Roman"/>
                <w:sz w:val="24"/>
                <w:szCs w:val="24"/>
              </w:rPr>
              <w:t>200 долл. США</w:t>
            </w:r>
          </w:p>
        </w:tc>
        <w:tc>
          <w:tcPr>
            <w:tcW w:w="3304" w:type="dxa"/>
          </w:tcPr>
          <w:p w14:paraId="7A0DDB45" w14:textId="77777777" w:rsidR="005D224E" w:rsidRPr="00E937DC" w:rsidRDefault="005D224E" w:rsidP="00561BA2">
            <w:pPr>
              <w:spacing w:line="264" w:lineRule="auto"/>
              <w:jc w:val="center"/>
              <w:rPr>
                <w:rFonts w:ascii="Times New Roman" w:hAnsi="Times New Roman" w:cs="Times New Roman"/>
                <w:sz w:val="24"/>
                <w:szCs w:val="24"/>
              </w:rPr>
            </w:pPr>
            <w:r>
              <w:rPr>
                <w:rFonts w:ascii="Times New Roman" w:hAnsi="Times New Roman" w:cs="Times New Roman"/>
                <w:sz w:val="24"/>
                <w:szCs w:val="24"/>
              </w:rPr>
              <w:t>300 долл. США</w:t>
            </w:r>
          </w:p>
        </w:tc>
      </w:tr>
      <w:tr w:rsidR="005D224E" w:rsidRPr="00E937DC" w14:paraId="1136FB98" w14:textId="77777777" w:rsidTr="008B1391">
        <w:tc>
          <w:tcPr>
            <w:tcW w:w="3303" w:type="dxa"/>
          </w:tcPr>
          <w:p w14:paraId="5DC6B9EA" w14:textId="77777777" w:rsidR="005D224E" w:rsidRPr="00E937DC" w:rsidRDefault="005D224E" w:rsidP="00561BA2">
            <w:pPr>
              <w:spacing w:line="264" w:lineRule="auto"/>
              <w:jc w:val="center"/>
              <w:rPr>
                <w:rFonts w:ascii="Times New Roman" w:hAnsi="Times New Roman" w:cs="Times New Roman"/>
                <w:sz w:val="24"/>
                <w:szCs w:val="24"/>
              </w:rPr>
            </w:pPr>
            <w:r w:rsidRPr="00E937DC">
              <w:rPr>
                <w:rFonts w:ascii="Times New Roman" w:hAnsi="Times New Roman" w:cs="Times New Roman"/>
                <w:sz w:val="24"/>
                <w:szCs w:val="24"/>
              </w:rPr>
              <w:t>Вес (нетто/брутто)</w:t>
            </w:r>
          </w:p>
        </w:tc>
        <w:tc>
          <w:tcPr>
            <w:tcW w:w="3304" w:type="dxa"/>
          </w:tcPr>
          <w:p w14:paraId="2BD73C8C" w14:textId="77777777" w:rsidR="005D224E" w:rsidRPr="00E937DC" w:rsidRDefault="005D224E" w:rsidP="00561BA2">
            <w:pPr>
              <w:spacing w:line="264" w:lineRule="auto"/>
              <w:jc w:val="center"/>
              <w:rPr>
                <w:rFonts w:ascii="Times New Roman" w:hAnsi="Times New Roman" w:cs="Times New Roman"/>
                <w:sz w:val="24"/>
                <w:szCs w:val="24"/>
              </w:rPr>
            </w:pPr>
            <w:r>
              <w:rPr>
                <w:rFonts w:ascii="Times New Roman" w:hAnsi="Times New Roman" w:cs="Times New Roman"/>
                <w:sz w:val="24"/>
                <w:szCs w:val="24"/>
              </w:rPr>
              <w:t>30 кг/45 кг</w:t>
            </w:r>
          </w:p>
        </w:tc>
        <w:tc>
          <w:tcPr>
            <w:tcW w:w="3304" w:type="dxa"/>
          </w:tcPr>
          <w:p w14:paraId="7B3A936F" w14:textId="77777777" w:rsidR="005D224E" w:rsidRPr="00E937DC" w:rsidRDefault="005D224E" w:rsidP="00561BA2">
            <w:pPr>
              <w:spacing w:line="264" w:lineRule="auto"/>
              <w:jc w:val="center"/>
              <w:rPr>
                <w:rFonts w:ascii="Times New Roman" w:hAnsi="Times New Roman" w:cs="Times New Roman"/>
                <w:sz w:val="24"/>
                <w:szCs w:val="24"/>
              </w:rPr>
            </w:pPr>
            <w:r>
              <w:rPr>
                <w:rFonts w:ascii="Times New Roman" w:hAnsi="Times New Roman" w:cs="Times New Roman"/>
                <w:sz w:val="24"/>
                <w:szCs w:val="24"/>
              </w:rPr>
              <w:t>400 кг/700 кг</w:t>
            </w:r>
          </w:p>
        </w:tc>
      </w:tr>
    </w:tbl>
    <w:p w14:paraId="055EA9D9" w14:textId="77777777" w:rsidR="005D224E" w:rsidRDefault="005D224E" w:rsidP="005D224E">
      <w:pPr>
        <w:spacing w:after="0" w:line="360" w:lineRule="auto"/>
        <w:ind w:firstLine="709"/>
        <w:jc w:val="center"/>
        <w:rPr>
          <w:rFonts w:ascii="Times New Roman" w:hAnsi="Times New Roman" w:cs="Times New Roman"/>
          <w:sz w:val="28"/>
          <w:szCs w:val="28"/>
        </w:rPr>
      </w:pPr>
    </w:p>
    <w:p w14:paraId="1BA6A314" w14:textId="7F6F13BD" w:rsidR="005D224E" w:rsidRDefault="005D224E" w:rsidP="005D224E">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lastRenderedPageBreak/>
        <w:t xml:space="preserve">Таблица </w:t>
      </w:r>
      <w:r w:rsidR="007560C7">
        <w:rPr>
          <w:rFonts w:ascii="Times New Roman" w:hAnsi="Times New Roman" w:cs="Times New Roman"/>
          <w:sz w:val="28"/>
          <w:szCs w:val="28"/>
        </w:rPr>
        <w:t>10</w:t>
      </w:r>
      <w:r>
        <w:rPr>
          <w:rFonts w:ascii="Times New Roman" w:hAnsi="Times New Roman" w:cs="Times New Roman"/>
          <w:sz w:val="28"/>
          <w:szCs w:val="28"/>
        </w:rPr>
        <w:t>.</w:t>
      </w:r>
    </w:p>
    <w:p w14:paraId="62CB0769" w14:textId="77777777" w:rsidR="005D224E" w:rsidRDefault="005D224E" w:rsidP="005D224E">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Первый вариант решения задачи</w:t>
      </w:r>
    </w:p>
    <w:p w14:paraId="21E83C7C" w14:textId="77777777" w:rsidR="005D224E" w:rsidRDefault="005D224E" w:rsidP="005D224E">
      <w:pPr>
        <w:spacing w:after="0" w:line="360" w:lineRule="auto"/>
        <w:ind w:firstLine="709"/>
        <w:jc w:val="center"/>
        <w:rPr>
          <w:rFonts w:ascii="Times New Roman" w:hAnsi="Times New Roman" w:cs="Times New Roman"/>
          <w:sz w:val="28"/>
          <w:szCs w:val="28"/>
        </w:rPr>
      </w:pPr>
    </w:p>
    <w:tbl>
      <w:tblPr>
        <w:tblW w:w="0" w:type="auto"/>
        <w:tblCellMar>
          <w:left w:w="0" w:type="dxa"/>
          <w:right w:w="0" w:type="dxa"/>
        </w:tblCellMar>
        <w:tblLook w:val="0600" w:firstRow="0" w:lastRow="0" w:firstColumn="0" w:lastColumn="0" w:noHBand="1" w:noVBand="1"/>
      </w:tblPr>
      <w:tblGrid>
        <w:gridCol w:w="1536"/>
        <w:gridCol w:w="3302"/>
        <w:gridCol w:w="2106"/>
        <w:gridCol w:w="1307"/>
        <w:gridCol w:w="1366"/>
      </w:tblGrid>
      <w:tr w:rsidR="005D224E" w:rsidRPr="0060462F" w14:paraId="3CF39CE0" w14:textId="77777777" w:rsidTr="008B1391">
        <w:trPr>
          <w:trHeight w:val="986"/>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56525C1" w14:textId="77777777" w:rsidR="005D224E" w:rsidRPr="0060462F" w:rsidRDefault="005D224E" w:rsidP="008B1391">
            <w:pPr>
              <w:spacing w:after="0" w:line="240" w:lineRule="auto"/>
              <w:rPr>
                <w:rFonts w:ascii="Times New Roman" w:hAnsi="Times New Roman" w:cs="Times New Roman"/>
                <w:sz w:val="24"/>
                <w:szCs w:val="24"/>
              </w:rPr>
            </w:pPr>
            <w:r>
              <w:rPr>
                <w:rFonts w:ascii="Times New Roman" w:hAnsi="Times New Roman" w:cs="Times New Roman"/>
                <w:sz w:val="24"/>
                <w:szCs w:val="24"/>
              </w:rPr>
              <w:t>Вид поправки</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4664C9B" w14:textId="77777777" w:rsidR="005D224E" w:rsidRPr="0060462F" w:rsidRDefault="005D224E" w:rsidP="008B1391">
            <w:pPr>
              <w:spacing w:after="0" w:line="240" w:lineRule="auto"/>
              <w:rPr>
                <w:rFonts w:ascii="Times New Roman" w:hAnsi="Times New Roman" w:cs="Times New Roman"/>
                <w:sz w:val="24"/>
                <w:szCs w:val="24"/>
              </w:rPr>
            </w:pPr>
            <w:r>
              <w:rPr>
                <w:rFonts w:ascii="Times New Roman" w:hAnsi="Times New Roman" w:cs="Times New Roman"/>
                <w:sz w:val="24"/>
                <w:szCs w:val="24"/>
              </w:rPr>
              <w:t>Однородные</w:t>
            </w:r>
            <w:r w:rsidRPr="0060462F">
              <w:rPr>
                <w:rFonts w:ascii="Times New Roman" w:hAnsi="Times New Roman" w:cs="Times New Roman"/>
                <w:sz w:val="24"/>
                <w:szCs w:val="24"/>
              </w:rPr>
              <w:t xml:space="preserve"> товары </w:t>
            </w:r>
          </w:p>
          <w:p w14:paraId="1395BAF1"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(1000 пар)</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23160ED"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Ввозимые (оцениваемые) товары (70 пар)</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B6058D5" w14:textId="77777777" w:rsidR="005D224E" w:rsidRPr="0060462F" w:rsidRDefault="005D224E" w:rsidP="008B139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Поправки в </w:t>
            </w:r>
            <w:r w:rsidRPr="0060462F">
              <w:rPr>
                <w:rFonts w:ascii="Times New Roman" w:hAnsi="Times New Roman" w:cs="Times New Roman"/>
                <w:sz w:val="24"/>
                <w:szCs w:val="24"/>
              </w:rPr>
              <w:t>графе</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A3CE394"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Сумма в руб.</w:t>
            </w:r>
          </w:p>
        </w:tc>
      </w:tr>
      <w:tr w:rsidR="005D224E" w:rsidRPr="0060462F" w14:paraId="49A764F3" w14:textId="77777777" w:rsidTr="008B1391">
        <w:trPr>
          <w:trHeight w:val="674"/>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8D61DBB"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Расходы на перевозку</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93F7F66"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1000 $</w:t>
            </w:r>
          </w:p>
          <w:p w14:paraId="14075E8C"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До Волгограда</w:t>
            </w:r>
          </w:p>
          <w:p w14:paraId="79C2E950"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Курс – 70,6950</w:t>
            </w:r>
          </w:p>
          <w:p w14:paraId="457D94B4"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Ра</w:t>
            </w:r>
            <w:r>
              <w:rPr>
                <w:rFonts w:ascii="Times New Roman" w:hAnsi="Times New Roman" w:cs="Times New Roman"/>
                <w:sz w:val="24"/>
                <w:szCs w:val="24"/>
              </w:rPr>
              <w:t xml:space="preserve">сходы в национальной валюте = </w:t>
            </w:r>
            <w:r w:rsidRPr="0060462F">
              <w:rPr>
                <w:rFonts w:ascii="Times New Roman" w:hAnsi="Times New Roman" w:cs="Times New Roman"/>
                <w:sz w:val="24"/>
                <w:szCs w:val="24"/>
              </w:rPr>
              <w:t>70 695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7DBE93EE"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900$</w:t>
            </w:r>
          </w:p>
          <w:p w14:paraId="133E09CD"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До Москвы</w:t>
            </w:r>
          </w:p>
          <w:p w14:paraId="4E0AA628"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Курс – 120,3785</w:t>
            </w:r>
          </w:p>
          <w:p w14:paraId="09953E93"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Расходы в национальной валюте= 108 340,65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D8E5269"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 xml:space="preserve">14 (в), т.к. расходы меньше </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17FC6B27" w14:textId="77777777" w:rsidR="005D224E" w:rsidRPr="0060462F" w:rsidRDefault="005D224E" w:rsidP="008B139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37 </w:t>
            </w:r>
            <w:r w:rsidRPr="0060462F">
              <w:rPr>
                <w:rFonts w:ascii="Times New Roman" w:hAnsi="Times New Roman" w:cs="Times New Roman"/>
                <w:sz w:val="24"/>
                <w:szCs w:val="24"/>
              </w:rPr>
              <w:t>645,65</w:t>
            </w:r>
          </w:p>
        </w:tc>
      </w:tr>
      <w:tr w:rsidR="005D224E" w:rsidRPr="0060462F" w14:paraId="1E423B0C" w14:textId="77777777" w:rsidTr="008B1391">
        <w:trPr>
          <w:trHeight w:val="361"/>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5D89771"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Расходы на страхование</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136A9BC"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300$</w:t>
            </w:r>
          </w:p>
          <w:p w14:paraId="391A696A"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Курс – 70,6950</w:t>
            </w:r>
          </w:p>
          <w:p w14:paraId="454AD25C"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Расходы в национальной валюте= 21 208,50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274FEDE"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200$</w:t>
            </w:r>
          </w:p>
          <w:p w14:paraId="3D62769F"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Курс – 120,3785</w:t>
            </w:r>
          </w:p>
          <w:p w14:paraId="056D81CA"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Расходы в национальной валюте= 24 075,70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518D58F"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14 (д), т.к. расходы меньше</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34C5AB1D" w14:textId="77777777" w:rsidR="005D224E" w:rsidRPr="0060462F" w:rsidRDefault="005D224E" w:rsidP="008B139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2 </w:t>
            </w:r>
            <w:r w:rsidRPr="0060462F">
              <w:rPr>
                <w:rFonts w:ascii="Times New Roman" w:hAnsi="Times New Roman" w:cs="Times New Roman"/>
                <w:sz w:val="24"/>
                <w:szCs w:val="24"/>
              </w:rPr>
              <w:t>867,20</w:t>
            </w:r>
          </w:p>
        </w:tc>
      </w:tr>
      <w:tr w:rsidR="005D224E" w:rsidRPr="0060462F" w14:paraId="47AA1519" w14:textId="77777777" w:rsidTr="008B1391">
        <w:trPr>
          <w:trHeight w:val="361"/>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DE00815"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Поправка на количество</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6A30DD5" w14:textId="77777777" w:rsidR="005D224E"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 xml:space="preserve">Цена </w:t>
            </w:r>
            <w:r w:rsidRPr="0060462F">
              <w:rPr>
                <w:rFonts w:ascii="Times New Roman" w:hAnsi="Times New Roman" w:cs="Times New Roman"/>
                <w:sz w:val="24"/>
                <w:szCs w:val="24"/>
                <w:lang w:val="en-US"/>
              </w:rPr>
              <w:t>30$</w:t>
            </w:r>
            <w:r w:rsidRPr="0060462F">
              <w:rPr>
                <w:rFonts w:ascii="Times New Roman" w:hAnsi="Times New Roman" w:cs="Times New Roman"/>
                <w:sz w:val="24"/>
                <w:szCs w:val="24"/>
              </w:rPr>
              <w:t xml:space="preserve"> за пару</w:t>
            </w:r>
          </w:p>
          <w:p w14:paraId="7856761F" w14:textId="77777777" w:rsidR="005D224E" w:rsidRPr="0060462F" w:rsidRDefault="005D224E" w:rsidP="008B1391">
            <w:pPr>
              <w:spacing w:after="0" w:line="240" w:lineRule="auto"/>
              <w:rPr>
                <w:rFonts w:ascii="Times New Roman" w:hAnsi="Times New Roman" w:cs="Times New Roman"/>
                <w:sz w:val="24"/>
                <w:szCs w:val="24"/>
              </w:rPr>
            </w:pPr>
            <w:r>
              <w:rPr>
                <w:rFonts w:ascii="Times New Roman" w:hAnsi="Times New Roman" w:cs="Times New Roman"/>
                <w:sz w:val="24"/>
                <w:szCs w:val="24"/>
              </w:rPr>
              <w:t>1000*40*</w:t>
            </w:r>
            <w:r w:rsidRPr="0060462F">
              <w:rPr>
                <w:rFonts w:ascii="Times New Roman" w:hAnsi="Times New Roman" w:cs="Times New Roman"/>
                <w:sz w:val="24"/>
                <w:szCs w:val="24"/>
              </w:rPr>
              <w:t>70,6950</w:t>
            </w:r>
            <w:r>
              <w:rPr>
                <w:rFonts w:ascii="Times New Roman" w:hAnsi="Times New Roman" w:cs="Times New Roman"/>
                <w:sz w:val="24"/>
                <w:szCs w:val="24"/>
              </w:rPr>
              <w:t>=</w:t>
            </w:r>
            <w:r w:rsidRPr="00107B41">
              <w:rPr>
                <w:rFonts w:ascii="Times New Roman" w:hAnsi="Times New Roman" w:cs="Times New Roman"/>
                <w:sz w:val="24"/>
                <w:szCs w:val="24"/>
              </w:rPr>
              <w:t>2210850</w:t>
            </w:r>
            <w:r>
              <w:rPr>
                <w:rFonts w:ascii="Times New Roman" w:hAnsi="Times New Roman" w:cs="Times New Roman"/>
                <w:sz w:val="24"/>
                <w:szCs w:val="24"/>
              </w:rPr>
              <w:t>,00</w:t>
            </w:r>
          </w:p>
          <w:p w14:paraId="27FE89FC" w14:textId="77777777" w:rsidR="005D224E" w:rsidRPr="00107B41" w:rsidRDefault="005D224E" w:rsidP="008B1391">
            <w:pPr>
              <w:spacing w:after="0" w:line="240" w:lineRule="auto"/>
              <w:rPr>
                <w:rFonts w:ascii="Times New Roman" w:hAnsi="Times New Roman" w:cs="Times New Roman"/>
                <w:sz w:val="24"/>
                <w:szCs w:val="24"/>
              </w:rPr>
            </w:pP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B0052CC"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 xml:space="preserve">Цена </w:t>
            </w:r>
            <w:r w:rsidRPr="0060462F">
              <w:rPr>
                <w:rFonts w:ascii="Times New Roman" w:hAnsi="Times New Roman" w:cs="Times New Roman"/>
                <w:sz w:val="24"/>
                <w:szCs w:val="24"/>
                <w:lang w:val="en-US"/>
              </w:rPr>
              <w:t>40$</w:t>
            </w:r>
            <w:r w:rsidRPr="0060462F">
              <w:rPr>
                <w:rFonts w:ascii="Times New Roman" w:hAnsi="Times New Roman" w:cs="Times New Roman"/>
                <w:sz w:val="24"/>
                <w:szCs w:val="24"/>
              </w:rPr>
              <w:t xml:space="preserve"> за пару</w:t>
            </w:r>
            <w:r w:rsidRPr="0060462F">
              <w:rPr>
                <w:rFonts w:ascii="Times New Roman" w:hAnsi="Times New Roman" w:cs="Times New Roman"/>
                <w:sz w:val="24"/>
                <w:szCs w:val="24"/>
              </w:rPr>
              <w:br/>
              <w:t>70*40*120,3785= 337 059,80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6755C8A"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12 (а)</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5F6BDA7F" w14:textId="77777777" w:rsidR="005D224E" w:rsidRPr="0060462F" w:rsidRDefault="005D224E" w:rsidP="008B1391">
            <w:pPr>
              <w:spacing w:after="0" w:line="240" w:lineRule="auto"/>
              <w:rPr>
                <w:rFonts w:ascii="Times New Roman" w:hAnsi="Times New Roman" w:cs="Times New Roman"/>
                <w:sz w:val="24"/>
                <w:szCs w:val="24"/>
              </w:rPr>
            </w:pPr>
            <w:r w:rsidRPr="00107B41">
              <w:rPr>
                <w:rFonts w:ascii="Times New Roman" w:hAnsi="Times New Roman" w:cs="Times New Roman"/>
                <w:sz w:val="24"/>
                <w:szCs w:val="24"/>
              </w:rPr>
              <w:t>1783762,20</w:t>
            </w:r>
          </w:p>
        </w:tc>
      </w:tr>
    </w:tbl>
    <w:p w14:paraId="62F84D8D" w14:textId="77777777" w:rsidR="005D224E" w:rsidRDefault="005D224E" w:rsidP="005D224E">
      <w:pPr>
        <w:spacing w:after="0" w:line="360" w:lineRule="auto"/>
        <w:ind w:firstLine="709"/>
        <w:jc w:val="both"/>
        <w:rPr>
          <w:rFonts w:ascii="Times New Roman" w:hAnsi="Times New Roman" w:cs="Times New Roman"/>
          <w:sz w:val="28"/>
          <w:szCs w:val="28"/>
        </w:rPr>
      </w:pPr>
    </w:p>
    <w:p w14:paraId="6AC40285" w14:textId="26B688EC" w:rsidR="005D224E" w:rsidRDefault="005D224E" w:rsidP="005D224E">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Таблица </w:t>
      </w:r>
      <w:r w:rsidR="007560C7">
        <w:rPr>
          <w:rFonts w:ascii="Times New Roman" w:hAnsi="Times New Roman" w:cs="Times New Roman"/>
          <w:sz w:val="28"/>
          <w:szCs w:val="28"/>
        </w:rPr>
        <w:t>11</w:t>
      </w:r>
      <w:r>
        <w:rPr>
          <w:rFonts w:ascii="Times New Roman" w:hAnsi="Times New Roman" w:cs="Times New Roman"/>
          <w:sz w:val="28"/>
          <w:szCs w:val="28"/>
        </w:rPr>
        <w:t>.</w:t>
      </w:r>
    </w:p>
    <w:p w14:paraId="7CA1A285" w14:textId="77777777" w:rsidR="005D224E" w:rsidRDefault="005D224E" w:rsidP="005D224E">
      <w:pPr>
        <w:spacing w:after="0" w:line="360" w:lineRule="auto"/>
        <w:ind w:firstLine="709"/>
        <w:jc w:val="center"/>
        <w:rPr>
          <w:rFonts w:ascii="Times New Roman" w:hAnsi="Times New Roman" w:cs="Times New Roman"/>
          <w:sz w:val="28"/>
          <w:szCs w:val="28"/>
        </w:rPr>
      </w:pPr>
      <w:r>
        <w:rPr>
          <w:rFonts w:ascii="Times New Roman" w:hAnsi="Times New Roman" w:cs="Times New Roman"/>
          <w:sz w:val="28"/>
          <w:szCs w:val="28"/>
        </w:rPr>
        <w:t>Второй вариант решения задачи</w:t>
      </w:r>
    </w:p>
    <w:tbl>
      <w:tblPr>
        <w:tblW w:w="0" w:type="auto"/>
        <w:tblCellMar>
          <w:left w:w="0" w:type="dxa"/>
          <w:right w:w="0" w:type="dxa"/>
        </w:tblCellMar>
        <w:tblLook w:val="0600" w:firstRow="0" w:lastRow="0" w:firstColumn="0" w:lastColumn="0" w:noHBand="1" w:noVBand="1"/>
      </w:tblPr>
      <w:tblGrid>
        <w:gridCol w:w="1659"/>
        <w:gridCol w:w="2698"/>
        <w:gridCol w:w="2391"/>
        <w:gridCol w:w="1483"/>
        <w:gridCol w:w="1386"/>
      </w:tblGrid>
      <w:tr w:rsidR="005D224E" w:rsidRPr="0060462F" w14:paraId="219A92C9" w14:textId="77777777" w:rsidTr="008B1391">
        <w:trPr>
          <w:trHeight w:val="986"/>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FE4D255" w14:textId="77777777" w:rsidR="005D224E" w:rsidRPr="0060462F" w:rsidRDefault="005D224E" w:rsidP="008B1391">
            <w:pPr>
              <w:spacing w:after="0" w:line="240" w:lineRule="auto"/>
              <w:rPr>
                <w:rFonts w:ascii="Times New Roman" w:hAnsi="Times New Roman" w:cs="Times New Roman"/>
                <w:sz w:val="24"/>
                <w:szCs w:val="24"/>
              </w:rPr>
            </w:pPr>
            <w:r>
              <w:rPr>
                <w:rFonts w:ascii="Times New Roman" w:hAnsi="Times New Roman" w:cs="Times New Roman"/>
                <w:sz w:val="24"/>
                <w:szCs w:val="24"/>
              </w:rPr>
              <w:t>Вид поправки</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865F732" w14:textId="77777777" w:rsidR="005D224E" w:rsidRPr="0060462F" w:rsidRDefault="005D224E" w:rsidP="008B1391">
            <w:pPr>
              <w:spacing w:after="0" w:line="240" w:lineRule="auto"/>
              <w:rPr>
                <w:rFonts w:ascii="Times New Roman" w:hAnsi="Times New Roman" w:cs="Times New Roman"/>
                <w:sz w:val="24"/>
                <w:szCs w:val="24"/>
              </w:rPr>
            </w:pPr>
            <w:r>
              <w:rPr>
                <w:rFonts w:ascii="Times New Roman" w:hAnsi="Times New Roman" w:cs="Times New Roman"/>
                <w:sz w:val="24"/>
                <w:szCs w:val="24"/>
              </w:rPr>
              <w:t>Однород</w:t>
            </w:r>
            <w:r w:rsidRPr="0060462F">
              <w:rPr>
                <w:rFonts w:ascii="Times New Roman" w:hAnsi="Times New Roman" w:cs="Times New Roman"/>
                <w:sz w:val="24"/>
                <w:szCs w:val="24"/>
              </w:rPr>
              <w:t xml:space="preserve">ные товары </w:t>
            </w:r>
          </w:p>
          <w:p w14:paraId="2AC91DB8"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(1000 пар)</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085EC8C"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Ввозимые (оцениваемые) товары (70 пар)</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CD05C06" w14:textId="77777777" w:rsidR="005D224E" w:rsidRPr="0060462F" w:rsidRDefault="005D224E" w:rsidP="008B139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Поправки в </w:t>
            </w:r>
            <w:r w:rsidRPr="0060462F">
              <w:rPr>
                <w:rFonts w:ascii="Times New Roman" w:hAnsi="Times New Roman" w:cs="Times New Roman"/>
                <w:sz w:val="24"/>
                <w:szCs w:val="24"/>
              </w:rPr>
              <w:t>графе</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0672F9E"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Сумма в руб.</w:t>
            </w:r>
          </w:p>
        </w:tc>
      </w:tr>
      <w:tr w:rsidR="005D224E" w:rsidRPr="0060462F" w14:paraId="77660E49" w14:textId="77777777" w:rsidTr="008B1391">
        <w:trPr>
          <w:trHeight w:val="674"/>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1FDE4AA"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Расходы на перевозку</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43A17B6"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1000 $</w:t>
            </w:r>
            <w:r>
              <w:rPr>
                <w:rFonts w:ascii="Times New Roman" w:hAnsi="Times New Roman" w:cs="Times New Roman"/>
                <w:sz w:val="24"/>
                <w:szCs w:val="24"/>
              </w:rPr>
              <w:t>.</w:t>
            </w:r>
          </w:p>
          <w:p w14:paraId="03AC85AD" w14:textId="77777777" w:rsidR="005D224E" w:rsidRPr="0060462F" w:rsidRDefault="005D224E" w:rsidP="008B1391">
            <w:pPr>
              <w:spacing w:after="0" w:line="240" w:lineRule="auto"/>
              <w:rPr>
                <w:rFonts w:ascii="Times New Roman" w:hAnsi="Times New Roman" w:cs="Times New Roman"/>
                <w:sz w:val="24"/>
                <w:szCs w:val="24"/>
              </w:rPr>
            </w:pPr>
            <w:proofErr w:type="gramStart"/>
            <w:r w:rsidRPr="0060462F">
              <w:rPr>
                <w:rFonts w:ascii="Times New Roman" w:hAnsi="Times New Roman" w:cs="Times New Roman"/>
                <w:sz w:val="24"/>
                <w:szCs w:val="24"/>
              </w:rPr>
              <w:t xml:space="preserve">До </w:t>
            </w:r>
            <w:r>
              <w:rPr>
                <w:rFonts w:ascii="Times New Roman" w:hAnsi="Times New Roman" w:cs="Times New Roman"/>
                <w:sz w:val="24"/>
                <w:szCs w:val="24"/>
              </w:rPr>
              <w:t>Волгоград</w:t>
            </w:r>
            <w:proofErr w:type="gramEnd"/>
          </w:p>
          <w:p w14:paraId="0C90E830"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 xml:space="preserve">Курс – 120,3785 </w:t>
            </w:r>
          </w:p>
          <w:p w14:paraId="2E281E9A"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Расходы в национальной валюте= 120 378,50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542AD761"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900$</w:t>
            </w:r>
          </w:p>
          <w:p w14:paraId="0A95917D"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До Москвы</w:t>
            </w:r>
          </w:p>
          <w:p w14:paraId="26FB1572"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Курс – 120,3785</w:t>
            </w:r>
          </w:p>
          <w:p w14:paraId="09727043"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Расходы в национальной валюте= 108 340,65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6497683"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12 (в), т.к. расходы больше</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4B542D98" w14:textId="77777777" w:rsidR="005D224E" w:rsidRPr="0060462F" w:rsidRDefault="005D224E" w:rsidP="008B139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12 </w:t>
            </w:r>
            <w:r w:rsidRPr="0060462F">
              <w:rPr>
                <w:rFonts w:ascii="Times New Roman" w:hAnsi="Times New Roman" w:cs="Times New Roman"/>
                <w:sz w:val="24"/>
                <w:szCs w:val="24"/>
              </w:rPr>
              <w:t>037,85</w:t>
            </w:r>
          </w:p>
        </w:tc>
      </w:tr>
      <w:tr w:rsidR="005D224E" w:rsidRPr="0060462F" w14:paraId="2F2F47DB" w14:textId="77777777" w:rsidTr="008B1391">
        <w:trPr>
          <w:trHeight w:val="361"/>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213F0035"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Расходы на страхование</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8F7A422"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300$</w:t>
            </w:r>
          </w:p>
          <w:p w14:paraId="1F606CA4"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Курс – 120,3785</w:t>
            </w:r>
          </w:p>
          <w:p w14:paraId="5134A392"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Ра</w:t>
            </w:r>
            <w:r>
              <w:rPr>
                <w:rFonts w:ascii="Times New Roman" w:hAnsi="Times New Roman" w:cs="Times New Roman"/>
                <w:sz w:val="24"/>
                <w:szCs w:val="24"/>
              </w:rPr>
              <w:t xml:space="preserve">сходы в национальной валюте= 36 </w:t>
            </w:r>
            <w:r w:rsidRPr="0060462F">
              <w:rPr>
                <w:rFonts w:ascii="Times New Roman" w:hAnsi="Times New Roman" w:cs="Times New Roman"/>
                <w:sz w:val="24"/>
                <w:szCs w:val="24"/>
              </w:rPr>
              <w:t>113,55</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B7409A1"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200$</w:t>
            </w:r>
          </w:p>
          <w:p w14:paraId="5DA24D6A"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Курс – 120,3785</w:t>
            </w:r>
          </w:p>
          <w:p w14:paraId="3680B2F3"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Ра</w:t>
            </w:r>
            <w:r>
              <w:rPr>
                <w:rFonts w:ascii="Times New Roman" w:hAnsi="Times New Roman" w:cs="Times New Roman"/>
                <w:sz w:val="24"/>
                <w:szCs w:val="24"/>
              </w:rPr>
              <w:t xml:space="preserve">сходы в национальной валюте= 24 </w:t>
            </w:r>
            <w:r w:rsidRPr="0060462F">
              <w:rPr>
                <w:rFonts w:ascii="Times New Roman" w:hAnsi="Times New Roman" w:cs="Times New Roman"/>
                <w:sz w:val="24"/>
                <w:szCs w:val="24"/>
              </w:rPr>
              <w:t>075,70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025DED25"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12 (д), т.к. расходы больше</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hideMark/>
          </w:tcPr>
          <w:p w14:paraId="685F6840" w14:textId="77777777" w:rsidR="005D224E" w:rsidRPr="0060462F" w:rsidRDefault="005D224E" w:rsidP="008B1391">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12 </w:t>
            </w:r>
            <w:r w:rsidRPr="0060462F">
              <w:rPr>
                <w:rFonts w:ascii="Times New Roman" w:hAnsi="Times New Roman" w:cs="Times New Roman"/>
                <w:sz w:val="24"/>
                <w:szCs w:val="24"/>
              </w:rPr>
              <w:t>037,85</w:t>
            </w:r>
          </w:p>
        </w:tc>
      </w:tr>
      <w:tr w:rsidR="005D224E" w:rsidRPr="0060462F" w14:paraId="58314974" w14:textId="77777777" w:rsidTr="008B1391">
        <w:trPr>
          <w:trHeight w:val="361"/>
        </w:trPr>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43E4568E"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Поправка на количество</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9D94FB1" w14:textId="77777777" w:rsidR="005D224E"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 xml:space="preserve">Цена </w:t>
            </w:r>
            <w:r w:rsidRPr="0060462F">
              <w:rPr>
                <w:rFonts w:ascii="Times New Roman" w:hAnsi="Times New Roman" w:cs="Times New Roman"/>
                <w:sz w:val="24"/>
                <w:szCs w:val="24"/>
                <w:lang w:val="en-US"/>
              </w:rPr>
              <w:t>30$</w:t>
            </w:r>
            <w:r w:rsidRPr="0060462F">
              <w:rPr>
                <w:rFonts w:ascii="Times New Roman" w:hAnsi="Times New Roman" w:cs="Times New Roman"/>
                <w:sz w:val="24"/>
                <w:szCs w:val="24"/>
              </w:rPr>
              <w:t xml:space="preserve"> за пару</w:t>
            </w:r>
            <w:r>
              <w:rPr>
                <w:rFonts w:ascii="Times New Roman" w:hAnsi="Times New Roman" w:cs="Times New Roman"/>
                <w:sz w:val="24"/>
                <w:szCs w:val="24"/>
              </w:rPr>
              <w:t>.</w:t>
            </w:r>
          </w:p>
          <w:p w14:paraId="10D3056E" w14:textId="77777777" w:rsidR="005D224E" w:rsidRPr="0060462F" w:rsidRDefault="005D224E" w:rsidP="008B1391">
            <w:pPr>
              <w:spacing w:after="0" w:line="240" w:lineRule="auto"/>
              <w:rPr>
                <w:rFonts w:ascii="Times New Roman" w:hAnsi="Times New Roman" w:cs="Times New Roman"/>
                <w:sz w:val="24"/>
                <w:szCs w:val="24"/>
              </w:rPr>
            </w:pPr>
            <w:r w:rsidRPr="00CF6D53">
              <w:rPr>
                <w:rFonts w:ascii="Times New Roman" w:hAnsi="Times New Roman" w:cs="Times New Roman"/>
                <w:sz w:val="24"/>
                <w:szCs w:val="24"/>
              </w:rPr>
              <w:t>1000*30</w:t>
            </w:r>
            <w:r w:rsidRPr="00CF6D53">
              <w:rPr>
                <w:rFonts w:ascii="Times New Roman" w:hAnsi="Times New Roman" w:cs="Times New Roman"/>
                <w:sz w:val="24"/>
                <w:szCs w:val="24"/>
                <w:lang w:val="en-US"/>
              </w:rPr>
              <w:t>$</w:t>
            </w:r>
            <w:r w:rsidRPr="00CF6D53">
              <w:rPr>
                <w:rFonts w:ascii="Times New Roman" w:hAnsi="Times New Roman" w:cs="Times New Roman"/>
                <w:sz w:val="24"/>
                <w:szCs w:val="24"/>
              </w:rPr>
              <w:t>*120,3785=</w:t>
            </w:r>
            <w:r>
              <w:rPr>
                <w:rFonts w:ascii="Times New Roman" w:hAnsi="Times New Roman" w:cs="Times New Roman"/>
                <w:sz w:val="24"/>
                <w:szCs w:val="24"/>
              </w:rPr>
              <w:t xml:space="preserve"> 3 611 355,00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0A84156C" w14:textId="77777777" w:rsidR="005D224E"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Цена 4</w:t>
            </w:r>
            <w:r w:rsidRPr="0060462F">
              <w:rPr>
                <w:rFonts w:ascii="Times New Roman" w:hAnsi="Times New Roman" w:cs="Times New Roman"/>
                <w:sz w:val="24"/>
                <w:szCs w:val="24"/>
                <w:lang w:val="en-US"/>
              </w:rPr>
              <w:t>0$</w:t>
            </w:r>
            <w:r w:rsidRPr="0060462F">
              <w:rPr>
                <w:rFonts w:ascii="Times New Roman" w:hAnsi="Times New Roman" w:cs="Times New Roman"/>
                <w:sz w:val="24"/>
                <w:szCs w:val="24"/>
              </w:rPr>
              <w:t xml:space="preserve"> за пару</w:t>
            </w:r>
            <w:r>
              <w:rPr>
                <w:rFonts w:ascii="Times New Roman" w:hAnsi="Times New Roman" w:cs="Times New Roman"/>
                <w:sz w:val="24"/>
                <w:szCs w:val="24"/>
              </w:rPr>
              <w:t>.</w:t>
            </w:r>
          </w:p>
          <w:p w14:paraId="08367627"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70*40*120,3785= 337 059,80</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2C5F6633" w14:textId="77777777" w:rsidR="005D224E" w:rsidRPr="0060462F" w:rsidRDefault="005D224E" w:rsidP="008B1391">
            <w:pPr>
              <w:spacing w:after="0" w:line="240" w:lineRule="auto"/>
              <w:rPr>
                <w:rFonts w:ascii="Times New Roman" w:hAnsi="Times New Roman" w:cs="Times New Roman"/>
                <w:sz w:val="24"/>
                <w:szCs w:val="24"/>
              </w:rPr>
            </w:pPr>
            <w:r w:rsidRPr="0060462F">
              <w:rPr>
                <w:rFonts w:ascii="Times New Roman" w:hAnsi="Times New Roman" w:cs="Times New Roman"/>
                <w:sz w:val="24"/>
                <w:szCs w:val="24"/>
              </w:rPr>
              <w:t>12 (а)</w:t>
            </w:r>
          </w:p>
        </w:tc>
        <w:tc>
          <w:tcPr>
            <w:tcW w:w="0" w:type="auto"/>
            <w:tcBorders>
              <w:top w:val="single" w:sz="8" w:space="0" w:color="000000"/>
              <w:left w:val="single" w:sz="8" w:space="0" w:color="000000"/>
              <w:bottom w:val="single" w:sz="8" w:space="0" w:color="000000"/>
              <w:right w:val="single" w:sz="8" w:space="0" w:color="000000"/>
            </w:tcBorders>
            <w:shd w:val="clear" w:color="auto" w:fill="auto"/>
            <w:tcMar>
              <w:top w:w="15" w:type="dxa"/>
              <w:left w:w="108" w:type="dxa"/>
              <w:bottom w:w="0" w:type="dxa"/>
              <w:right w:w="108" w:type="dxa"/>
            </w:tcMar>
          </w:tcPr>
          <w:p w14:paraId="62E0768F" w14:textId="77777777" w:rsidR="005D224E" w:rsidRPr="0060462F" w:rsidRDefault="005D224E" w:rsidP="008B1391">
            <w:pPr>
              <w:spacing w:after="0" w:line="240" w:lineRule="auto"/>
              <w:rPr>
                <w:rFonts w:ascii="Times New Roman" w:hAnsi="Times New Roman" w:cs="Times New Roman"/>
                <w:sz w:val="24"/>
                <w:szCs w:val="24"/>
              </w:rPr>
            </w:pPr>
            <w:r w:rsidRPr="00D07F46">
              <w:rPr>
                <w:rFonts w:ascii="Times New Roman" w:hAnsi="Times New Roman" w:cs="Times New Roman"/>
                <w:sz w:val="24"/>
                <w:szCs w:val="24"/>
              </w:rPr>
              <w:t>3274295,20</w:t>
            </w:r>
          </w:p>
        </w:tc>
      </w:tr>
    </w:tbl>
    <w:p w14:paraId="75DBCA7E" w14:textId="77777777" w:rsidR="005D224E" w:rsidRPr="005A71DA" w:rsidRDefault="005D224E" w:rsidP="005D224E">
      <w:pPr>
        <w:spacing w:after="0" w:line="360" w:lineRule="auto"/>
        <w:ind w:firstLine="709"/>
        <w:jc w:val="right"/>
        <w:rPr>
          <w:rFonts w:ascii="Times New Roman" w:hAnsi="Times New Roman" w:cs="Times New Roman"/>
          <w:sz w:val="28"/>
          <w:szCs w:val="28"/>
        </w:rPr>
      </w:pPr>
      <w:r>
        <w:rPr>
          <w:rFonts w:ascii="Times New Roman" w:hAnsi="Times New Roman" w:cs="Times New Roman"/>
          <w:sz w:val="28"/>
          <w:szCs w:val="28"/>
        </w:rPr>
        <w:t xml:space="preserve"> </w:t>
      </w:r>
    </w:p>
    <w:p w14:paraId="0BF43E6F"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Таким образом, при расчёте по первому варианту получается таможенная стоимость равная 26432,05 рублей. При расчёте вторым вариантом таможенная </w:t>
      </w:r>
      <w:r>
        <w:rPr>
          <w:rFonts w:ascii="Times New Roman" w:hAnsi="Times New Roman" w:cs="Times New Roman"/>
          <w:sz w:val="28"/>
          <w:szCs w:val="28"/>
        </w:rPr>
        <w:lastRenderedPageBreak/>
        <w:t xml:space="preserve">стоимость получилась с отрицательным значением. Так, становится очевидно, что данный метод расчета не может применяться при расчете таможенной стоимости по методу 2 или методу 3, так как таможенная стоимость не может быть отрицательной. Из этого следует то, что корректной методикой расчета является та, при которой для однородного или идентичного товара применятся курс, действующий на день регистрации декларации на этот однородный (идентичный) товар, а для оцениваемого применятся курс на дату регистрации декларации на этот товар. Однако, данный механизм расчета корректировки транспортах, страховых расходов и разницы в количестве нормативно не закреплен. </w:t>
      </w:r>
    </w:p>
    <w:p w14:paraId="340BE923" w14:textId="00050482"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Решением данной проблемы является изменение, а точнее дополнение Решения КЕЭК от 30.10.2012 № 202, данной методологий и приведением примеров корректного расчета. </w:t>
      </w:r>
      <w:r w:rsidR="008B01B0">
        <w:rPr>
          <w:rFonts w:ascii="Times New Roman" w:hAnsi="Times New Roman" w:cs="Times New Roman"/>
          <w:sz w:val="28"/>
          <w:szCs w:val="28"/>
        </w:rPr>
        <w:t>Возможно,</w:t>
      </w:r>
      <w:r>
        <w:rPr>
          <w:rFonts w:ascii="Times New Roman" w:hAnsi="Times New Roman" w:cs="Times New Roman"/>
          <w:sz w:val="28"/>
          <w:szCs w:val="28"/>
        </w:rPr>
        <w:t xml:space="preserve"> после этого метод 2 и метод 3 станут легче для применения на практике, и участники ВЭД станут чаще прибегать к их использованию. Также следует внести поправки в положения Решения ЕЭК от 16.10.2018 №160, касающихся графы «*». Необходимо реформировать заполнение данной графы так, чтобы было понятно, что при расчете поправок применяются два курса валюты на разные даты. </w:t>
      </w:r>
    </w:p>
    <w:p w14:paraId="47FBC220" w14:textId="77777777" w:rsidR="005D224E" w:rsidRPr="00E03247"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Исходя из статистики применения методов, упомянутой ранее, можно сделать вывод, что методы сложения и вычитания применяются крайне редко. Это связано со сложностью их применения. Для метода 4 достаточно затруднительным является сбор информации о суммах, которые необходимы для вычета, а также это занимает достаточно большое количество времени. При этом такие документы не всегда могут подтвердить заявленную по методу вычитания таможенную стоимость. Несмотря на то, что на нормативном уровне были даны разъяснения по применению всех методов определения таможенной стоимости, участникам ВЭД все равно достаточно сложно разобраться с ними. Возможно решением данной проблемы для применения метода 4 и помощи участникам ВЭД было бы создание общей базы данных участников ВЭД, занимающихся реализацией того или иного товара, отрасли, в которых была бы информация о </w:t>
      </w:r>
      <w:r>
        <w:rPr>
          <w:rFonts w:ascii="Times New Roman" w:hAnsi="Times New Roman" w:cs="Times New Roman"/>
          <w:sz w:val="28"/>
          <w:szCs w:val="28"/>
        </w:rPr>
        <w:lastRenderedPageBreak/>
        <w:t>затратах, необходимых для применения метода 4. Помимо этого обмен информацией об особенностях ввоза был полезен бы для самих участников ВЭД, реализующих данный товар. В целом, возможно есть вариант для создания общей базы данных с информацией для применения метода 2 – метода 4, из которой необходимые данные предоставлялись бы по запросу.</w:t>
      </w:r>
      <w:r w:rsidRPr="0069267E">
        <w:rPr>
          <w:rFonts w:ascii="Times New Roman" w:hAnsi="Times New Roman" w:cs="Times New Roman"/>
          <w:color w:val="000000"/>
          <w:sz w:val="28"/>
          <w:szCs w:val="28"/>
        </w:rPr>
        <w:t xml:space="preserve"> </w:t>
      </w:r>
      <w:r>
        <w:rPr>
          <w:rFonts w:ascii="Times New Roman" w:hAnsi="Times New Roman" w:cs="Times New Roman"/>
          <w:sz w:val="28"/>
          <w:szCs w:val="28"/>
        </w:rPr>
        <w:t>Такая общедоступная база</w:t>
      </w:r>
      <w:r w:rsidRPr="0069267E">
        <w:rPr>
          <w:rFonts w:ascii="Times New Roman" w:hAnsi="Times New Roman" w:cs="Times New Roman"/>
          <w:sz w:val="28"/>
          <w:szCs w:val="28"/>
        </w:rPr>
        <w:t xml:space="preserve"> данных </w:t>
      </w:r>
      <w:r>
        <w:rPr>
          <w:rFonts w:ascii="Times New Roman" w:hAnsi="Times New Roman" w:cs="Times New Roman"/>
          <w:sz w:val="28"/>
          <w:szCs w:val="28"/>
        </w:rPr>
        <w:t xml:space="preserve">может быть создана </w:t>
      </w:r>
      <w:r w:rsidRPr="0069267E">
        <w:rPr>
          <w:rFonts w:ascii="Times New Roman" w:hAnsi="Times New Roman" w:cs="Times New Roman"/>
          <w:sz w:val="28"/>
          <w:szCs w:val="28"/>
        </w:rPr>
        <w:t>по аналогии с предварительными решениями о классификации</w:t>
      </w:r>
      <w:r>
        <w:rPr>
          <w:rFonts w:ascii="Times New Roman" w:hAnsi="Times New Roman" w:cs="Times New Roman"/>
          <w:sz w:val="28"/>
          <w:szCs w:val="28"/>
        </w:rPr>
        <w:t>. Участники ВЭД имели бы возможность получать</w:t>
      </w:r>
      <w:r w:rsidRPr="0069267E">
        <w:rPr>
          <w:rFonts w:ascii="Times New Roman" w:hAnsi="Times New Roman" w:cs="Times New Roman"/>
          <w:sz w:val="28"/>
          <w:szCs w:val="28"/>
        </w:rPr>
        <w:t xml:space="preserve"> информацию о сопоставимых ценах на идентичные (однородные) товары. Такую дополнительную опцию можно сделать, например, в «Личном кабинете участника ВЭД». </w:t>
      </w:r>
    </w:p>
    <w:p w14:paraId="20531A5F" w14:textId="5DC95E21" w:rsidR="005D224E" w:rsidRDefault="008B01B0"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Вывод по главе. </w:t>
      </w:r>
      <w:r w:rsidR="005D224E" w:rsidRPr="00E03247">
        <w:rPr>
          <w:rFonts w:ascii="Times New Roman" w:hAnsi="Times New Roman" w:cs="Times New Roman"/>
          <w:sz w:val="28"/>
          <w:szCs w:val="28"/>
        </w:rPr>
        <w:t>Подводя итог, хочется сказать, что несмотря на относительную простоту механизма применения метода определения таможенной стоимости по сделке с ввозимыми товарами, все равно встречаются некоторые затруднения. В основном они связаны с условиями применения метода, а также с дополнительными начислениями. Если участник ВЭД будет осведомлен о нюансах, перечисленных выше, то ему будет проще применить первый метод и обосновать его законность, а у таможенных органов будет меньше во</w:t>
      </w:r>
      <w:r w:rsidR="005D224E">
        <w:rPr>
          <w:rFonts w:ascii="Times New Roman" w:hAnsi="Times New Roman" w:cs="Times New Roman"/>
          <w:sz w:val="28"/>
          <w:szCs w:val="28"/>
        </w:rPr>
        <w:t>просов при совершении таможенных операций</w:t>
      </w:r>
      <w:r w:rsidR="005D224E" w:rsidRPr="00E03247">
        <w:rPr>
          <w:rFonts w:ascii="Times New Roman" w:hAnsi="Times New Roman" w:cs="Times New Roman"/>
          <w:sz w:val="28"/>
          <w:szCs w:val="28"/>
        </w:rPr>
        <w:t>, что ускорит в целом работу таможенного органа.</w:t>
      </w:r>
      <w:r w:rsidR="005D224E">
        <w:rPr>
          <w:rFonts w:ascii="Times New Roman" w:hAnsi="Times New Roman" w:cs="Times New Roman"/>
          <w:sz w:val="28"/>
          <w:szCs w:val="28"/>
        </w:rPr>
        <w:t xml:space="preserve"> В применении метода 2 и метода 3 может возникнуть сложность при осуществлении корректировки в расходах на транспортировку, страхование, связанные с отсутствием нормативного закрепления методики расчёта таких вычетов. В связи с этим возникает необходимость о дополнении Решения КЕЭК от 30.10.2012 № 202 такой методикой. Создание открытой базы данных участников ВЭД, может облегчить поиск информации для применения метода вычитания.</w:t>
      </w:r>
      <w:bookmarkStart w:id="31" w:name="_Toc25947428"/>
    </w:p>
    <w:p w14:paraId="2F2772B3" w14:textId="77777777" w:rsidR="005D224E" w:rsidRDefault="005D224E" w:rsidP="005D224E">
      <w:pPr>
        <w:spacing w:after="0" w:line="360" w:lineRule="auto"/>
        <w:ind w:firstLine="709"/>
        <w:jc w:val="both"/>
        <w:rPr>
          <w:rFonts w:ascii="Times New Roman" w:hAnsi="Times New Roman" w:cs="Times New Roman"/>
          <w:sz w:val="28"/>
          <w:szCs w:val="28"/>
        </w:rPr>
      </w:pPr>
    </w:p>
    <w:p w14:paraId="1767FBBF" w14:textId="77777777" w:rsidR="005D224E" w:rsidRPr="002D3BE9" w:rsidRDefault="005D224E" w:rsidP="005D224E">
      <w:pPr>
        <w:pStyle w:val="a3"/>
        <w:jc w:val="center"/>
        <w:rPr>
          <w:color w:val="auto"/>
        </w:rPr>
      </w:pPr>
      <w:bookmarkStart w:id="32" w:name="_Toc152675679"/>
      <w:r>
        <w:rPr>
          <w:color w:val="auto"/>
        </w:rPr>
        <w:lastRenderedPageBreak/>
        <w:t>3.2. Предложения</w:t>
      </w:r>
      <w:r w:rsidRPr="002D3BE9">
        <w:rPr>
          <w:color w:val="auto"/>
        </w:rPr>
        <w:t xml:space="preserve"> по минимизации оснований для возникновения споров при определении таможенной стоимости</w:t>
      </w:r>
      <w:bookmarkEnd w:id="31"/>
      <w:bookmarkEnd w:id="32"/>
    </w:p>
    <w:p w14:paraId="0B318324" w14:textId="77777777" w:rsidR="005D224E" w:rsidRPr="00E02E4F" w:rsidRDefault="005D224E" w:rsidP="005D224E">
      <w:pPr>
        <w:pStyle w:val="11"/>
        <w:spacing w:line="240" w:lineRule="auto"/>
        <w:jc w:val="center"/>
        <w:rPr>
          <w:rFonts w:cs="Times New Roman"/>
          <w:color w:val="auto"/>
          <w:szCs w:val="28"/>
        </w:rPr>
      </w:pPr>
    </w:p>
    <w:p w14:paraId="0580AAC3" w14:textId="77777777" w:rsidR="005D224E" w:rsidRPr="00E03247"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Таможенная стоимость – один из самых частых предметов споров таможенных органов и участников внешнеэкономической деятельности. Это происходит по разным причинам: недобросовестный участник ВЭД, хочет занизить таможенную стоимость, чтобы избежать уплату больших сумм таможенных пошлин, невнимательность, при определении таможенной стоимости, незнание законодательства и другие.</w:t>
      </w:r>
    </w:p>
    <w:p w14:paraId="3423B489" w14:textId="77777777" w:rsidR="005D224E" w:rsidRPr="00E03247"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Во-первых, таможенным органам следует собирать статистику правонарушений по данной категории и рассылать рекомендательные письма участникам ВЭД раз в квартал. Возможно, в личном кабинете участника внешнеэкономической деятельности на сайте ФТС должна быть памятка с инструкциями, где в виде доступных и понятных схем, будут отражены все нюансы определения таможенной стоимости по шести методам.</w:t>
      </w:r>
      <w:r>
        <w:rPr>
          <w:rFonts w:ascii="Times New Roman" w:hAnsi="Times New Roman" w:cs="Times New Roman"/>
          <w:sz w:val="28"/>
          <w:szCs w:val="28"/>
        </w:rPr>
        <w:t xml:space="preserve"> </w:t>
      </w:r>
    </w:p>
    <w:p w14:paraId="58D1C05D" w14:textId="77777777" w:rsidR="005D224E" w:rsidRPr="00E03247"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Во-вторых, участник ВЭД должен понимать, как будет проходить порядок контроля таможенной стоимости. Необходимо четкое понимание процесса, чтобы знать, на что будут обращать внимание сотрудники таможенных органов. В ряде случаев, юридическое лицо проигрывало дело только потому, что не было готово предоставить дополнительные документы и сведения по требованию таможни. Декларант должен быть готов к тому, что у него могут запросить дополнительные документы, чтобы сделать это в кротчайшие сроки и отвести от себя подозрения.</w:t>
      </w:r>
    </w:p>
    <w:p w14:paraId="01CD8C67" w14:textId="77777777" w:rsidR="005D224E"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 xml:space="preserve">Декларанту стоит оценивать риски, которые связаны с возможным расхождением таможенной стоимости импортируемых товаров и информацией о ценах, на которую будет опираться таможенные органы. Для этого необходимо проанализировать рынок данных товаров в стране, в которую они будут ввозиться. При анализе следует определить уровень цен, механизм их формирования аналогичных товаров. Это можно сделать путем запроса </w:t>
      </w:r>
      <w:r w:rsidRPr="00E03247">
        <w:rPr>
          <w:rFonts w:ascii="Times New Roman" w:hAnsi="Times New Roman" w:cs="Times New Roman"/>
          <w:sz w:val="28"/>
          <w:szCs w:val="28"/>
        </w:rPr>
        <w:lastRenderedPageBreak/>
        <w:t>информации у иностранных производителей аналогичного товара, которые активно поставляют их на рынок или используя общедоступные источники.</w:t>
      </w:r>
    </w:p>
    <w:p w14:paraId="458FEC03" w14:textId="77777777" w:rsidR="005D224E" w:rsidRPr="00E03247"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Для подтверждения таможенной стоимости необходимо предоставить обеспечение однозначной идентификации импортируемых товаров, оформляя коммерческие, транспортные и иные документы. Участнику ВЭД отразить в данных документах подробное описание товаров, информацию об их количестве, сведения о производители. Также следует обеспечить идентификацию всех платежей, которые будут учитываться при определении таможенной стоимости.</w:t>
      </w:r>
    </w:p>
    <w:p w14:paraId="3D5E0975" w14:textId="77777777" w:rsidR="005D224E"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 xml:space="preserve">В случае, когда декларанту известно, что потенциальная цена на его товары будет ниже, чем на аналогичные ввозимым товары, то рациональным решением будет заранее подготовить и представить в таможенный орган информацию и сведения, которые будут выступать обоснованием для возможного расхождения. Особенно важно быть готовым к обоснованию в случае, если есть взаимосвязь между лицами и предоставляются скидки или какие-либо специальные условия. </w:t>
      </w:r>
    </w:p>
    <w:p w14:paraId="5B9D9A3B" w14:textId="6F2C3519"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Применение транспортных вычетов – достаточно распространенная проблема. Суть транспортного вычета заключается в том, что в таможенную стоимость товаров не включаются расходы на транспортировку, осуществляемую по таможенной территории ЕЭАС. Для того, чтобы данные расходы не были включены в структуру таможенной стоимости, они должны быть, во-первых, подтверждены необходимыми документами, во-вторых, такие расходы должны быть выделены из подлежащей уплате цены. По мнению таможенных органов выделения в договоре и инвойсе стоимости транспортных расходов, а также разделение стоимости таких расходов до таможенной территории ЕАЭС и после недостаточно. Выделение таких сумм должно быть также отраженно в договоре перевозки, который может быть потребован к предоставлению декларантом для подтверждения структуры заявленной таможенной стоимости. Стоит отметить, что таможенные органы порой не обращают внимание на письмо Минфина от </w:t>
      </w:r>
      <w:r w:rsidRPr="00357537">
        <w:rPr>
          <w:rFonts w:ascii="Times New Roman" w:hAnsi="Times New Roman" w:cs="Times New Roman"/>
          <w:sz w:val="28"/>
          <w:szCs w:val="28"/>
        </w:rPr>
        <w:t xml:space="preserve">22.11.2018 № 01-02-01/03-84284 «О </w:t>
      </w:r>
      <w:r w:rsidRPr="00357537">
        <w:rPr>
          <w:rFonts w:ascii="Times New Roman" w:hAnsi="Times New Roman" w:cs="Times New Roman"/>
          <w:sz w:val="28"/>
          <w:szCs w:val="28"/>
        </w:rPr>
        <w:lastRenderedPageBreak/>
        <w:t>подтверждении транспортных расходов по</w:t>
      </w:r>
      <w:r>
        <w:rPr>
          <w:rFonts w:ascii="Times New Roman" w:hAnsi="Times New Roman" w:cs="Times New Roman"/>
          <w:sz w:val="28"/>
          <w:szCs w:val="28"/>
        </w:rPr>
        <w:t xml:space="preserve"> </w:t>
      </w:r>
      <w:r w:rsidRPr="00357537">
        <w:rPr>
          <w:rFonts w:ascii="Times New Roman" w:hAnsi="Times New Roman" w:cs="Times New Roman"/>
          <w:sz w:val="28"/>
          <w:szCs w:val="28"/>
        </w:rPr>
        <w:t>территории Евразийского экономического союза при определении таможенной стоимости</w:t>
      </w:r>
      <w:r>
        <w:rPr>
          <w:rFonts w:ascii="Times New Roman" w:hAnsi="Times New Roman" w:cs="Times New Roman"/>
          <w:sz w:val="28"/>
          <w:szCs w:val="28"/>
        </w:rPr>
        <w:t xml:space="preserve"> товаров». В данном нормативном-правовом акте говорится о том, что документы предоставляются декларантом только по запросу таможенного органа, и декларант имеет право обосновать возможность </w:t>
      </w:r>
      <w:r w:rsidR="008B01B0">
        <w:rPr>
          <w:rFonts w:ascii="Times New Roman" w:hAnsi="Times New Roman" w:cs="Times New Roman"/>
          <w:sz w:val="28"/>
          <w:szCs w:val="28"/>
        </w:rPr>
        <w:t>непредставления</w:t>
      </w:r>
      <w:r>
        <w:rPr>
          <w:rFonts w:ascii="Times New Roman" w:hAnsi="Times New Roman" w:cs="Times New Roman"/>
          <w:sz w:val="28"/>
          <w:szCs w:val="28"/>
        </w:rPr>
        <w:t xml:space="preserve"> таких документов. Однако декларант имеет право представить иные документы, подтверждающие транспортный вычет. Из-за таких противоречий между таможенными органами и судами возникает проблема правильного предоставления документов, подтверждающих корректность применения транспортного вычета.</w:t>
      </w:r>
    </w:p>
    <w:p w14:paraId="4832A346"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На законодательном уровне отсутствует определённый перечень документов, подтверждающих таможенную стоимость, для предоставления таможенным органам декларантом совместно с декларацией на товары. При этом таможенный орган вправе запросить документы и сведения для обоснования таможенной стоимости, однако зачастую декларант не имеет возможности для предоставления таких документов, либо такие документы не устраняют сомнения таможенных органов. Для решения данной проблемы необходимо законодательно закрепить минимальный перечень документов, необходимый для подтверждения заявленной таможенной стоимости. После такого новшества, у декларанта будет возможность провести более тщательную подготовку к этапу контроля таможенной стоимости. В свою очередь повысится эффективность таможенного контроля и сократится время выпуска товаров. Все это поспособствует уменьшению возникновения споров.</w:t>
      </w:r>
    </w:p>
    <w:p w14:paraId="59AE861A" w14:textId="6277F832"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Достаточное количество споров по таможенной стоимости возникает из-за недостаточной развитой правовой культуры участников ВЭД. Несмотря на существование в настоящее время Экспертно-консультативных советов, занимающихся вопросами проведения таможенной политики (в том числе и вопросами, касающимися таможенной стоимости), в 202</w:t>
      </w:r>
      <w:r w:rsidR="008B01B0">
        <w:rPr>
          <w:rFonts w:ascii="Times New Roman" w:hAnsi="Times New Roman" w:cs="Times New Roman"/>
          <w:sz w:val="28"/>
          <w:szCs w:val="28"/>
        </w:rPr>
        <w:t>2</w:t>
      </w:r>
      <w:r>
        <w:rPr>
          <w:rFonts w:ascii="Times New Roman" w:hAnsi="Times New Roman" w:cs="Times New Roman"/>
          <w:sz w:val="28"/>
          <w:szCs w:val="28"/>
        </w:rPr>
        <w:t xml:space="preserve"> году было проведено всего 15 заседаний. Этого недостаточно для развития полного понимания процесса определения таможенной стоимости. Участникам ВЭД необходимо </w:t>
      </w:r>
      <w:r>
        <w:rPr>
          <w:rFonts w:ascii="Times New Roman" w:hAnsi="Times New Roman" w:cs="Times New Roman"/>
          <w:sz w:val="28"/>
          <w:szCs w:val="28"/>
        </w:rPr>
        <w:lastRenderedPageBreak/>
        <w:t xml:space="preserve">развивать таможенную правовую культуру, активнее принимать участие в вебинарах, проводимых таможенными органами, стараться сотрудничать с таможенными органами в вопросах развития понимания таможенного законодательства и его нюансов. </w:t>
      </w:r>
    </w:p>
    <w:p w14:paraId="175B6CD6"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Практика показывает, что судебные решения, принятые не в сторону таможенных органов, очень часто являются необоснованными и противоречат международному законодательству. Несмотря на то, что в некоторых случаях декларант предоставляет полный пакет документов, которые не имеют в себе некорректного содержания, такие доказательства все равно не могут подтвердить то, что заявленная таможенная стоимость основывается на действительной стоимости товара.</w:t>
      </w:r>
      <w:r w:rsidRPr="0069267E">
        <w:t xml:space="preserve"> </w:t>
      </w:r>
      <w:r w:rsidRPr="0069267E">
        <w:rPr>
          <w:rFonts w:ascii="Times New Roman" w:hAnsi="Times New Roman" w:cs="Times New Roman"/>
          <w:sz w:val="28"/>
          <w:szCs w:val="28"/>
        </w:rPr>
        <w:t>Как правило, суды</w:t>
      </w:r>
      <w:r>
        <w:rPr>
          <w:rFonts w:ascii="Times New Roman" w:hAnsi="Times New Roman" w:cs="Times New Roman"/>
          <w:sz w:val="28"/>
          <w:szCs w:val="28"/>
        </w:rPr>
        <w:t xml:space="preserve"> </w:t>
      </w:r>
      <w:r w:rsidRPr="0069267E">
        <w:rPr>
          <w:rFonts w:ascii="Times New Roman" w:hAnsi="Times New Roman" w:cs="Times New Roman"/>
          <w:sz w:val="28"/>
          <w:szCs w:val="28"/>
        </w:rPr>
        <w:t>фиксируют только факт наличия документов вне зависимости от их содержания,</w:t>
      </w:r>
      <w:r>
        <w:rPr>
          <w:rFonts w:ascii="Times New Roman" w:hAnsi="Times New Roman" w:cs="Times New Roman"/>
          <w:sz w:val="28"/>
          <w:szCs w:val="28"/>
        </w:rPr>
        <w:t xml:space="preserve"> </w:t>
      </w:r>
      <w:r w:rsidRPr="0069267E">
        <w:rPr>
          <w:rFonts w:ascii="Times New Roman" w:hAnsi="Times New Roman" w:cs="Times New Roman"/>
          <w:sz w:val="28"/>
          <w:szCs w:val="28"/>
        </w:rPr>
        <w:t>что представляется абсурдным.</w:t>
      </w:r>
      <w:r>
        <w:rPr>
          <w:rFonts w:ascii="Times New Roman" w:hAnsi="Times New Roman" w:cs="Times New Roman"/>
          <w:sz w:val="28"/>
          <w:szCs w:val="28"/>
        </w:rPr>
        <w:t xml:space="preserve"> Следствие таких решений суда – недополучение таможенными органами сумм таможенных платежей, что является проблемой с точки зрения фискальной функции и вредит экономике страны. При вывозе товаров занижение таможенной стоимости приводит </w:t>
      </w:r>
      <w:r w:rsidRPr="00A74A32">
        <w:rPr>
          <w:rFonts w:ascii="Times New Roman" w:hAnsi="Times New Roman" w:cs="Times New Roman"/>
          <w:sz w:val="28"/>
          <w:szCs w:val="28"/>
        </w:rPr>
        <w:t>к незаконному вывозу дене</w:t>
      </w:r>
      <w:r>
        <w:rPr>
          <w:rFonts w:ascii="Times New Roman" w:hAnsi="Times New Roman" w:cs="Times New Roman"/>
          <w:sz w:val="28"/>
          <w:szCs w:val="28"/>
        </w:rPr>
        <w:t>жных средств с территории Российской Федерации</w:t>
      </w:r>
      <w:r w:rsidRPr="00A74A32">
        <w:rPr>
          <w:rFonts w:ascii="Times New Roman" w:hAnsi="Times New Roman" w:cs="Times New Roman"/>
          <w:sz w:val="28"/>
          <w:szCs w:val="28"/>
        </w:rPr>
        <w:t>, так как часть реально полученной экспортной выручки не репатриируется из-за границы.</w:t>
      </w:r>
    </w:p>
    <w:p w14:paraId="296B1BF8"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Для решения данной проблемы необходимо оспаривать такие решения суда, обращаясь в суд высшей инстанции. При этом необходимо ссылаться на положения Постановления Верховного Суда РФ от 26.11.2019 № 49 «О некоторых вопросах, возникающих в судебной практике в связи с вступлением в силу Таможенного кодекса Евразийского экономического союза», в частности на пункт 10.  В </w:t>
      </w:r>
      <w:r w:rsidRPr="0069267E">
        <w:rPr>
          <w:rFonts w:ascii="Times New Roman" w:hAnsi="Times New Roman" w:cs="Times New Roman"/>
          <w:sz w:val="28"/>
          <w:szCs w:val="28"/>
        </w:rPr>
        <w:t xml:space="preserve">постановлении Пленума ВС </w:t>
      </w:r>
      <w:r>
        <w:rPr>
          <w:rFonts w:ascii="Times New Roman" w:hAnsi="Times New Roman" w:cs="Times New Roman"/>
          <w:sz w:val="28"/>
          <w:szCs w:val="28"/>
        </w:rPr>
        <w:t>РФ № 18 на необходимо указать, что судам следует изучать содержание</w:t>
      </w:r>
      <w:r w:rsidRPr="0069267E">
        <w:rPr>
          <w:rFonts w:ascii="Times New Roman" w:hAnsi="Times New Roman" w:cs="Times New Roman"/>
          <w:sz w:val="28"/>
          <w:szCs w:val="28"/>
        </w:rPr>
        <w:t xml:space="preserve"> представленных декларантами документов</w:t>
      </w:r>
      <w:r>
        <w:rPr>
          <w:rFonts w:ascii="Times New Roman" w:hAnsi="Times New Roman" w:cs="Times New Roman"/>
          <w:sz w:val="28"/>
          <w:szCs w:val="28"/>
        </w:rPr>
        <w:t>, а не основывать свои решения лишь на факте предоставления документов</w:t>
      </w:r>
      <w:r w:rsidRPr="0069267E">
        <w:rPr>
          <w:rFonts w:ascii="Times New Roman" w:hAnsi="Times New Roman" w:cs="Times New Roman"/>
          <w:sz w:val="28"/>
          <w:szCs w:val="28"/>
        </w:rPr>
        <w:t>.</w:t>
      </w:r>
      <w:r>
        <w:rPr>
          <w:rFonts w:ascii="Times New Roman" w:hAnsi="Times New Roman" w:cs="Times New Roman"/>
          <w:sz w:val="28"/>
          <w:szCs w:val="28"/>
        </w:rPr>
        <w:t xml:space="preserve"> При рассмотрении дел об отмене решений таможенных органов по внесению изменений в суд не должны представляться декларантом новые доказательства, которые не были известны таможенным органом. Исключением могут быть лишь доказательства, которые по объективным причинам не могли быть </w:t>
      </w:r>
      <w:r>
        <w:rPr>
          <w:rFonts w:ascii="Times New Roman" w:hAnsi="Times New Roman" w:cs="Times New Roman"/>
          <w:sz w:val="28"/>
          <w:szCs w:val="28"/>
        </w:rPr>
        <w:lastRenderedPageBreak/>
        <w:t>представлены в таможенный орган. Также необходимо повышать квалификацию должностных лиц таможенных органов, которые представляют интересы таможенных органов в суде. Повышению квалификации в вопросах определения таможенной стоимости должны подвергаться и судьи, которые занимаются данными делами.</w:t>
      </w:r>
    </w:p>
    <w:p w14:paraId="0D1CC4DA" w14:textId="77777777" w:rsidR="005D224E" w:rsidRPr="00E03247" w:rsidRDefault="005D224E" w:rsidP="005D224E">
      <w:pPr>
        <w:spacing w:after="0" w:line="360" w:lineRule="auto"/>
        <w:ind w:firstLine="709"/>
        <w:jc w:val="both"/>
        <w:rPr>
          <w:rFonts w:ascii="Times New Roman" w:hAnsi="Times New Roman" w:cs="Times New Roman"/>
          <w:sz w:val="28"/>
          <w:szCs w:val="28"/>
        </w:rPr>
      </w:pPr>
      <w:r w:rsidRPr="00E03247">
        <w:rPr>
          <w:rFonts w:ascii="Times New Roman" w:hAnsi="Times New Roman" w:cs="Times New Roman"/>
          <w:sz w:val="28"/>
          <w:szCs w:val="28"/>
        </w:rPr>
        <w:t>Таким образом, при проведении таможенным органом проверок, декларанту следует быть готовым к подтверждению заявленной таможенной стоимости. Активное взаимодействие участника ВЭД с таможенными органами может обеспечить принятие таможенным органов таможенной стоимости и разрешением дела в досудебном порядке.</w:t>
      </w:r>
      <w:r>
        <w:rPr>
          <w:rFonts w:ascii="Times New Roman" w:hAnsi="Times New Roman" w:cs="Times New Roman"/>
          <w:sz w:val="28"/>
          <w:szCs w:val="28"/>
        </w:rPr>
        <w:t xml:space="preserve"> В вопросе спорных судебных решений, которые принимаются не в пользу таможенных органов следует обратить внимание на квалификацию судей, занимающихся делами, касающихся таможенной стоимости, должностных лиц таможенных органов, которые представляют интересы таможни. Также необходимо исключить применение участниками ВЭД в суде новых доказательств, которые не были известны таможенным органам. Суду следует изменить практику принятия факта предоставления документов, как довод и изучать содержание таких документов.</w:t>
      </w:r>
    </w:p>
    <w:p w14:paraId="23B884D0" w14:textId="77777777" w:rsidR="005D224E" w:rsidRDefault="005D224E" w:rsidP="005D224E">
      <w:pPr>
        <w:spacing w:after="0" w:line="360" w:lineRule="auto"/>
        <w:ind w:firstLine="709"/>
        <w:jc w:val="both"/>
        <w:rPr>
          <w:rFonts w:ascii="Times New Roman" w:hAnsi="Times New Roman" w:cs="Times New Roman"/>
          <w:sz w:val="28"/>
          <w:szCs w:val="28"/>
        </w:rPr>
      </w:pPr>
    </w:p>
    <w:p w14:paraId="78CBDA14" w14:textId="77777777" w:rsidR="005D224E" w:rsidRDefault="005D224E" w:rsidP="005D224E">
      <w:pPr>
        <w:pStyle w:val="a3"/>
        <w:spacing w:before="0"/>
        <w:jc w:val="center"/>
        <w:rPr>
          <w:color w:val="auto"/>
        </w:rPr>
      </w:pPr>
      <w:bookmarkStart w:id="33" w:name="_Toc152675680"/>
      <w:r w:rsidRPr="00C2318E">
        <w:rPr>
          <w:color w:val="auto"/>
        </w:rPr>
        <w:t xml:space="preserve">3.3. Предложения по совершенствованию </w:t>
      </w:r>
      <w:r>
        <w:rPr>
          <w:color w:val="auto"/>
        </w:rPr>
        <w:t xml:space="preserve">декларирования и </w:t>
      </w:r>
      <w:r w:rsidRPr="00C2318E">
        <w:rPr>
          <w:color w:val="auto"/>
        </w:rPr>
        <w:t>контроля таможенной стоимости</w:t>
      </w:r>
      <w:bookmarkEnd w:id="33"/>
    </w:p>
    <w:p w14:paraId="3F7A2C26" w14:textId="77777777" w:rsidR="005D224E" w:rsidRPr="00E02E4F" w:rsidRDefault="005D224E" w:rsidP="005D224E">
      <w:pPr>
        <w:pStyle w:val="a3"/>
        <w:spacing w:before="0"/>
        <w:jc w:val="center"/>
        <w:rPr>
          <w:color w:val="auto"/>
        </w:rPr>
      </w:pPr>
    </w:p>
    <w:p w14:paraId="4CFC8372" w14:textId="77777777" w:rsidR="005D224E" w:rsidRPr="005A30E3"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Несмотря на то, что форма декларации таможенной стоимости является удобным инструментом для расчета таможенной стоимости и в ней можно определить структуру таможенной стоимости, в ней есть некоторые недочеты. Так, в графе 17 ДТС-1, необходимо прописать населённый пункт, до которого осуществляется транспортировка. Однако в Решении ЕЭК от 16.10.2018 №160 отсутствуют положения о том, как корректно прописать название города. Так, на практике можно встретить написание названия города в именительном падеже, хотя в графе существует предполагает «до», который предполагает написание наименования в родительном падеже.  Таким образом, необходимо прописать, в каком падеже стоит указывать название населенного пункта, до которого </w:t>
      </w:r>
      <w:r>
        <w:rPr>
          <w:rFonts w:ascii="Times New Roman" w:hAnsi="Times New Roman" w:cs="Times New Roman"/>
          <w:sz w:val="28"/>
          <w:szCs w:val="28"/>
        </w:rPr>
        <w:lastRenderedPageBreak/>
        <w:t>осуществляется перевозка, в графах, отражающих расходы на транспортировку, как в Решении ЕЭК от 16.10.2018 №160, так и в Приказе ФТС от 27.01.2011 №152.</w:t>
      </w:r>
    </w:p>
    <w:p w14:paraId="0E4B9DDC" w14:textId="6ADA5C5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 соответствии со Стратегией развития таможенной службы Российской Федерации до 2030, одним из целевых ориентиров стратегии является полномасштабная цифровизация и автоматизация деятельности таможенных органов.  На данный момент, контроль таможенной стоимости осуществляется с использованием устарелых программных продуктов. Так, ИС «Малахит» имеет </w:t>
      </w:r>
      <w:r w:rsidR="008B01B0">
        <w:rPr>
          <w:rFonts w:ascii="Times New Roman" w:hAnsi="Times New Roman" w:cs="Times New Roman"/>
          <w:sz w:val="28"/>
          <w:szCs w:val="28"/>
        </w:rPr>
        <w:t>следующий недостаток,</w:t>
      </w:r>
      <w:r>
        <w:rPr>
          <w:rFonts w:ascii="Times New Roman" w:hAnsi="Times New Roman" w:cs="Times New Roman"/>
          <w:sz w:val="28"/>
          <w:szCs w:val="28"/>
        </w:rPr>
        <w:t xml:space="preserve"> заключающийся в поверхностном анализе, учитывая лишь код товара и страну происхождения, не учитывая особенности товара. Так, при заявлении в одной декларации разных моделей смартфонов, с различной ценовой категорией, ИС «Малахит» для дорогих моделей показывает отклонение таможенной стоимости в сторону занижения. При этом на самом деле никакого занижения таможенной стоимости нет, а декларант просто ввозит дорогие и дешевые смартфоны от одного производителя.  Инспектор, проверяющий декларацию, должен будет обратить внимание на этот факт и выявить в связи с чем программа показывает риск на занижение таможенной стоимости. Это занимает время, которое должностное лицо таможенного органа могло потратить на проверку другой декларации. Таким образом, ИС «Малахит» нуждается в реформировании. Программный продукт должен учитывать больше критериев при анализе.</w:t>
      </w:r>
    </w:p>
    <w:p w14:paraId="05F3B48D"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Также, актуальной проблемы для отделов контроля таможенной стоимости является отсутствие программного продукта, который содержит данные по ценовой информации. Поиск подходящей ценовой информации занимает часы и снижает эффективность контроля таможенной стоимости товаров. Следует разработать программный продукт, который содержал бы в себе базы данных с источниками ценовой информацией и осуществлял автоматический подбор таких источников по коду товара.  Автоматизация подбора источников ценовой информации сократит время контроля по конкретному товару в несколько раз. Ценовые данные, которые будут использоваться в программном продукте </w:t>
      </w:r>
      <w:r>
        <w:rPr>
          <w:rFonts w:ascii="Times New Roman" w:hAnsi="Times New Roman" w:cs="Times New Roman"/>
          <w:sz w:val="28"/>
          <w:szCs w:val="28"/>
        </w:rPr>
        <w:lastRenderedPageBreak/>
        <w:t>должны быть открытыми, чтобы участник ВЭД мог также воспользоваться ими, например, при применении метода 2, метода 3 и метода 4. Такие данные должны содержаться, как в программном продукте для контроля таможенной стоимости, так и работать внутри сервиса «Личный кабинет участника ВЭД». Это может устранить причины некоторых споров между таможенными органами и участниками ВЭД. Так как реализация данных процессов потребует затрат, а ценовая информация – это комплексный и большой массив данных, то предоставленные ценовых данных участнику ВЭД может предоставляться на платной основе, и сама услуга может носить коммерческий характер.</w:t>
      </w:r>
    </w:p>
    <w:p w14:paraId="71623E77"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Также необходимо автоматизировать распределение транспортных и страховых расходов между товарами. При декларировании участник ВЭД пользуется такими программными продуктами, как «Альта-ГДТ», «ВЭД-Декларант», которые распределяют стоимость транспортировки и страховки между товарами автоматически, в то время как должностные лица отдела контроля таможенной стоимости рассчитывают такие данные самостоятельно.</w:t>
      </w:r>
    </w:p>
    <w:p w14:paraId="610352BD" w14:textId="0BE30B2A"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Подводя итог, следует отметить, что при декларировании таможенной стоимости могут возникнуть вопросы </w:t>
      </w:r>
      <w:r w:rsidR="008B01B0">
        <w:rPr>
          <w:rFonts w:ascii="Times New Roman" w:hAnsi="Times New Roman" w:cs="Times New Roman"/>
          <w:sz w:val="28"/>
          <w:szCs w:val="28"/>
        </w:rPr>
        <w:t>при заполнении</w:t>
      </w:r>
      <w:r>
        <w:rPr>
          <w:rFonts w:ascii="Times New Roman" w:hAnsi="Times New Roman" w:cs="Times New Roman"/>
          <w:sz w:val="28"/>
          <w:szCs w:val="28"/>
        </w:rPr>
        <w:t xml:space="preserve"> граф, которые содержат наименования о месте доставки товаров. Так же при осуществлении поправок во время использования метода 2 и метода 3, необходимо нормативно закрепить заполнение графы «*» таким образом, чтобы было указано два использующихся курса валюты. Таким образом, можно сказать, что процесс таможенного контроля на современном этапе требует программные средства, которые бы автоматизировали процесс поиска источника ценовой информации, а также упростили бы расчет таможенной стоимости, автоматизируя распределение транспортировки и страховки. </w:t>
      </w:r>
    </w:p>
    <w:p w14:paraId="578A1212" w14:textId="6F2444E2" w:rsidR="005D224E" w:rsidRDefault="008B01B0"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Вывод по главе. </w:t>
      </w:r>
      <w:r w:rsidR="005D224E" w:rsidRPr="00E03247">
        <w:rPr>
          <w:rFonts w:ascii="Times New Roman" w:hAnsi="Times New Roman" w:cs="Times New Roman"/>
          <w:sz w:val="28"/>
          <w:szCs w:val="28"/>
        </w:rPr>
        <w:t xml:space="preserve">Подводя итог по данной главе следует сказать, что определение таможенной стоимости – сложный процесс. Необходимо знать все условия сделки и быть законодательно осведомленным, чтобы не допустить ошибки при применении метода по стоимости сделки с ввозимыми товарами. </w:t>
      </w:r>
      <w:r w:rsidR="005D224E">
        <w:rPr>
          <w:rFonts w:ascii="Times New Roman" w:hAnsi="Times New Roman" w:cs="Times New Roman"/>
          <w:sz w:val="28"/>
          <w:szCs w:val="28"/>
        </w:rPr>
        <w:t xml:space="preserve">Для корректного применения метода 2 и метода 3 необходимо законодательно </w:t>
      </w:r>
      <w:r w:rsidR="005D224E">
        <w:rPr>
          <w:rFonts w:ascii="Times New Roman" w:hAnsi="Times New Roman" w:cs="Times New Roman"/>
          <w:sz w:val="28"/>
          <w:szCs w:val="28"/>
        </w:rPr>
        <w:lastRenderedPageBreak/>
        <w:t xml:space="preserve">закрепить методологию расчета поправок на количество, транспортировку и страховку, в которой отражается применение двух курсов валют. Также существует необходимость в создании открытой базы данных для поиска информации, которая могла бы облегчить применение метода вычета. </w:t>
      </w:r>
      <w:r w:rsidR="005D224E" w:rsidRPr="00E03247">
        <w:rPr>
          <w:rFonts w:ascii="Times New Roman" w:hAnsi="Times New Roman" w:cs="Times New Roman"/>
          <w:sz w:val="28"/>
          <w:szCs w:val="28"/>
        </w:rPr>
        <w:t>Чтобы сократить количество судебных споров по таможенной стоимости необходимо взаимодействие участника ВЭД и таможенных органов. Декларанту стоит быть готовым к обоснованию таможенной стоимости, особенно если в ходе ее определения он сталкивался с какими-то вопросами. Таможенным органам стоит обеспечить полную информационную доступность о ходе проведения контроля по таможенной стоимости, о частых ошибках, которые совершаются участниками ВЭД.</w:t>
      </w:r>
      <w:r w:rsidR="005D224E">
        <w:rPr>
          <w:rFonts w:ascii="Times New Roman" w:hAnsi="Times New Roman" w:cs="Times New Roman"/>
          <w:sz w:val="28"/>
          <w:szCs w:val="28"/>
        </w:rPr>
        <w:t xml:space="preserve">  Что касается спорных решений суда, которые касаются таможенной стоимости, необходимо обратить внимание на практику суда, при которой судом учитывается лишь факт предоставления документов участником ВЭД, без проведения анализа его содержания, и изменить её. На современном этапе процесс контроля таможенной стоимости требует наличия актуальных программных средств, среди которых должен быть программный продукт с автоматизацией поиска источников ценовой информации.</w:t>
      </w:r>
    </w:p>
    <w:p w14:paraId="66E42E94" w14:textId="77777777" w:rsidR="005D224E" w:rsidRDefault="005D224E" w:rsidP="005D224E">
      <w:pPr>
        <w:rPr>
          <w:rFonts w:ascii="Times New Roman" w:hAnsi="Times New Roman" w:cs="Times New Roman"/>
          <w:sz w:val="28"/>
          <w:szCs w:val="28"/>
        </w:rPr>
      </w:pPr>
      <w:r>
        <w:rPr>
          <w:rFonts w:ascii="Times New Roman" w:hAnsi="Times New Roman" w:cs="Times New Roman"/>
          <w:sz w:val="28"/>
          <w:szCs w:val="28"/>
        </w:rPr>
        <w:br w:type="page"/>
      </w:r>
    </w:p>
    <w:p w14:paraId="5ADBCF23" w14:textId="77777777" w:rsidR="005D224E" w:rsidRDefault="005D224E" w:rsidP="005D224E">
      <w:pPr>
        <w:pStyle w:val="a3"/>
        <w:spacing w:before="0" w:line="240" w:lineRule="auto"/>
        <w:jc w:val="center"/>
        <w:rPr>
          <w:color w:val="auto"/>
        </w:rPr>
      </w:pPr>
      <w:bookmarkStart w:id="34" w:name="_Toc152675681"/>
      <w:r w:rsidRPr="006567CA">
        <w:rPr>
          <w:color w:val="auto"/>
        </w:rPr>
        <w:lastRenderedPageBreak/>
        <w:t>ЗАКЛЮЧЕНИЕ</w:t>
      </w:r>
      <w:bookmarkEnd w:id="34"/>
    </w:p>
    <w:p w14:paraId="3DA656B8" w14:textId="77777777" w:rsidR="005D224E" w:rsidRDefault="005D224E" w:rsidP="005D224E">
      <w:pPr>
        <w:pStyle w:val="a3"/>
        <w:spacing w:before="0" w:line="360" w:lineRule="auto"/>
        <w:jc w:val="center"/>
        <w:rPr>
          <w:color w:val="auto"/>
        </w:rPr>
      </w:pPr>
    </w:p>
    <w:p w14:paraId="3159A4FD" w14:textId="16C6802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 xml:space="preserve">Таможенная стоимость имеет важное значение </w:t>
      </w:r>
      <w:r w:rsidR="00AA1F25">
        <w:rPr>
          <w:rFonts w:ascii="Times New Roman" w:hAnsi="Times New Roman" w:cs="Times New Roman"/>
          <w:sz w:val="28"/>
          <w:szCs w:val="28"/>
        </w:rPr>
        <w:t>и</w:t>
      </w:r>
      <w:r>
        <w:rPr>
          <w:rFonts w:ascii="Times New Roman" w:hAnsi="Times New Roman" w:cs="Times New Roman"/>
          <w:sz w:val="28"/>
          <w:szCs w:val="28"/>
        </w:rPr>
        <w:t xml:space="preserve"> используется в целях таможенного регулирования по всему миру. От корректного определения таможенной стоимости зависит эффективность работы следующих институтов таможенно-тарифного регулирования: таможенные пошлины и таможенный тариф. Таможенная стоимость – основа для исчисления таможенных пошлин, специальных, антидемпинговых и компенсационных пошлин, сборов за совершение таможенных операций, </w:t>
      </w:r>
      <w:r w:rsidRPr="00E03247">
        <w:rPr>
          <w:rFonts w:ascii="Times New Roman" w:hAnsi="Times New Roman" w:cs="Times New Roman"/>
          <w:sz w:val="28"/>
          <w:szCs w:val="28"/>
        </w:rPr>
        <w:t>связанных с выпуском</w:t>
      </w:r>
      <w:r>
        <w:rPr>
          <w:rFonts w:ascii="Times New Roman" w:hAnsi="Times New Roman" w:cs="Times New Roman"/>
          <w:sz w:val="28"/>
          <w:szCs w:val="28"/>
        </w:rPr>
        <w:t xml:space="preserve">, составляющая базы НДС, взимаемого при ввозе товаров. </w:t>
      </w:r>
    </w:p>
    <w:p w14:paraId="571B5713"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Система таможенной оценки товаров состоит из шести методов определения таможенной стоимости товаров, на основе которых происходит определения таможенной стоимости. Эта система циклична. Цикличность заключается в последовательности применения методов. Методам определения таможенной стоимости можно дать следующую классификацию: основной метод, сравнительные методы, расчетные методы, резервный метод. Каждый метод имеет свои особенности в применении.</w:t>
      </w:r>
    </w:p>
    <w:p w14:paraId="4EE85396" w14:textId="0961D1BC"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П</w:t>
      </w:r>
      <w:r w:rsidR="00AA1F25">
        <w:rPr>
          <w:rFonts w:ascii="Times New Roman" w:hAnsi="Times New Roman" w:cs="Times New Roman"/>
          <w:sz w:val="28"/>
          <w:szCs w:val="28"/>
        </w:rPr>
        <w:t>р</w:t>
      </w:r>
      <w:r>
        <w:rPr>
          <w:rFonts w:ascii="Times New Roman" w:hAnsi="Times New Roman" w:cs="Times New Roman"/>
          <w:sz w:val="28"/>
          <w:szCs w:val="28"/>
        </w:rPr>
        <w:t>а</w:t>
      </w:r>
      <w:r w:rsidR="00AA1F25">
        <w:rPr>
          <w:rFonts w:ascii="Times New Roman" w:hAnsi="Times New Roman" w:cs="Times New Roman"/>
          <w:sz w:val="28"/>
          <w:szCs w:val="28"/>
        </w:rPr>
        <w:t>в</w:t>
      </w:r>
      <w:r>
        <w:rPr>
          <w:rFonts w:ascii="Times New Roman" w:hAnsi="Times New Roman" w:cs="Times New Roman"/>
          <w:sz w:val="28"/>
          <w:szCs w:val="28"/>
        </w:rPr>
        <w:t xml:space="preserve">овое регулирование вопросов, касающихся </w:t>
      </w:r>
      <w:r w:rsidR="00683C91">
        <w:rPr>
          <w:rFonts w:ascii="Times New Roman" w:hAnsi="Times New Roman" w:cs="Times New Roman"/>
          <w:sz w:val="28"/>
          <w:szCs w:val="28"/>
        </w:rPr>
        <w:t>таможенной стоимости,</w:t>
      </w:r>
      <w:r>
        <w:rPr>
          <w:rFonts w:ascii="Times New Roman" w:hAnsi="Times New Roman" w:cs="Times New Roman"/>
          <w:sz w:val="28"/>
          <w:szCs w:val="28"/>
        </w:rPr>
        <w:t xml:space="preserve"> функционирует на трех уровнях: международном, наднациональном и национальном. Стоит отметить, что наднациональное и национальное законодательство выстроено на основе положений международного. На международном уровне таможенная стоимость регулируется ГАТТ ВТО, а также </w:t>
      </w:r>
      <w:r>
        <w:rPr>
          <w:rFonts w:ascii="Times New Roman" w:hAnsi="Times New Roman" w:cs="Times New Roman"/>
          <w:sz w:val="28"/>
          <w:szCs w:val="28"/>
          <w:bdr w:val="none" w:sz="0" w:space="0" w:color="auto" w:frame="1"/>
        </w:rPr>
        <w:t xml:space="preserve">Соглашением </w:t>
      </w:r>
      <w:r w:rsidRPr="00E03247">
        <w:rPr>
          <w:rFonts w:ascii="Times New Roman" w:hAnsi="Times New Roman" w:cs="Times New Roman"/>
          <w:sz w:val="28"/>
          <w:szCs w:val="28"/>
          <w:shd w:val="clear" w:color="auto" w:fill="FFFFFF"/>
        </w:rPr>
        <w:t>о применении статьи VII ГАТТ-1994</w:t>
      </w:r>
      <w:r>
        <w:rPr>
          <w:rFonts w:ascii="Times New Roman" w:hAnsi="Times New Roman" w:cs="Times New Roman"/>
          <w:sz w:val="28"/>
          <w:szCs w:val="28"/>
          <w:shd w:val="clear" w:color="auto" w:fill="FFFFFF"/>
        </w:rPr>
        <w:t xml:space="preserve">. Наднациональный уровень представлен Таможенным кодексом ЕАЭС, а также рядом Решений Коллегии ЕЭК. На национальном уровне регулирование осуществляется такими законодательными документами, как </w:t>
      </w:r>
      <w:r>
        <w:rPr>
          <w:rFonts w:ascii="Times New Roman" w:hAnsi="Times New Roman" w:cs="Times New Roman"/>
          <w:bCs/>
          <w:sz w:val="28"/>
          <w:szCs w:val="28"/>
          <w:bdr w:val="none" w:sz="0" w:space="0" w:color="auto" w:frame="1"/>
        </w:rPr>
        <w:t>Федеральный закон «</w:t>
      </w:r>
      <w:r w:rsidRPr="00C9643F">
        <w:rPr>
          <w:rFonts w:ascii="Times New Roman" w:hAnsi="Times New Roman" w:cs="Times New Roman"/>
          <w:bCs/>
          <w:sz w:val="28"/>
          <w:szCs w:val="28"/>
          <w:bdr w:val="none" w:sz="0" w:space="0" w:color="auto" w:frame="1"/>
        </w:rPr>
        <w:t>О таможенном регулировании в Российской Федерации</w:t>
      </w:r>
      <w:r>
        <w:rPr>
          <w:rFonts w:ascii="Times New Roman" w:hAnsi="Times New Roman" w:cs="Times New Roman"/>
          <w:bCs/>
          <w:sz w:val="28"/>
          <w:szCs w:val="28"/>
          <w:bdr w:val="none" w:sz="0" w:space="0" w:color="auto" w:frame="1"/>
        </w:rPr>
        <w:t xml:space="preserve">» и </w:t>
      </w:r>
      <w:r w:rsidRPr="00C9643F">
        <w:rPr>
          <w:rFonts w:ascii="Times New Roman" w:hAnsi="Times New Roman" w:cs="Times New Roman"/>
          <w:bCs/>
          <w:sz w:val="28"/>
          <w:szCs w:val="28"/>
          <w:bdr w:val="none" w:sz="0" w:space="0" w:color="auto" w:frame="1"/>
        </w:rPr>
        <w:t>Постановление</w:t>
      </w:r>
      <w:r>
        <w:rPr>
          <w:rFonts w:ascii="Times New Roman" w:hAnsi="Times New Roman" w:cs="Times New Roman"/>
          <w:bCs/>
          <w:sz w:val="28"/>
          <w:szCs w:val="28"/>
          <w:bdr w:val="none" w:sz="0" w:space="0" w:color="auto" w:frame="1"/>
        </w:rPr>
        <w:t>м</w:t>
      </w:r>
      <w:r w:rsidRPr="00C9643F">
        <w:rPr>
          <w:rFonts w:ascii="Times New Roman" w:hAnsi="Times New Roman" w:cs="Times New Roman"/>
          <w:bCs/>
          <w:sz w:val="28"/>
          <w:szCs w:val="28"/>
          <w:bdr w:val="none" w:sz="0" w:space="0" w:color="auto" w:frame="1"/>
        </w:rPr>
        <w:t xml:space="preserve"> Правительства </w:t>
      </w:r>
      <w:r>
        <w:rPr>
          <w:rFonts w:ascii="Times New Roman" w:hAnsi="Times New Roman" w:cs="Times New Roman"/>
          <w:bCs/>
          <w:sz w:val="28"/>
          <w:szCs w:val="28"/>
          <w:bdr w:val="none" w:sz="0" w:space="0" w:color="auto" w:frame="1"/>
        </w:rPr>
        <w:t>РФ №</w:t>
      </w:r>
      <w:r w:rsidRPr="00C9643F">
        <w:rPr>
          <w:rFonts w:ascii="Times New Roman" w:hAnsi="Times New Roman" w:cs="Times New Roman"/>
          <w:bCs/>
          <w:sz w:val="28"/>
          <w:szCs w:val="28"/>
          <w:bdr w:val="none" w:sz="0" w:space="0" w:color="auto" w:frame="1"/>
        </w:rPr>
        <w:t xml:space="preserve"> 1694</w:t>
      </w:r>
      <w:r>
        <w:rPr>
          <w:rFonts w:ascii="Times New Roman" w:hAnsi="Times New Roman" w:cs="Times New Roman"/>
          <w:bCs/>
          <w:sz w:val="28"/>
          <w:szCs w:val="28"/>
          <w:bdr w:val="none" w:sz="0" w:space="0" w:color="auto" w:frame="1"/>
        </w:rPr>
        <w:t xml:space="preserve"> «</w:t>
      </w:r>
      <w:r w:rsidRPr="00C9643F">
        <w:rPr>
          <w:rFonts w:ascii="Times New Roman" w:hAnsi="Times New Roman" w:cs="Times New Roman"/>
          <w:bCs/>
          <w:sz w:val="28"/>
          <w:szCs w:val="28"/>
          <w:bdr w:val="none" w:sz="0" w:space="0" w:color="auto" w:frame="1"/>
        </w:rPr>
        <w:t>Об утверждении Правил определения таможенной стоимости товаров,</w:t>
      </w:r>
      <w:r>
        <w:rPr>
          <w:rFonts w:ascii="Times New Roman" w:hAnsi="Times New Roman" w:cs="Times New Roman"/>
          <w:bCs/>
          <w:sz w:val="28"/>
          <w:szCs w:val="28"/>
          <w:bdr w:val="none" w:sz="0" w:space="0" w:color="auto" w:frame="1"/>
        </w:rPr>
        <w:t xml:space="preserve"> </w:t>
      </w:r>
      <w:r w:rsidRPr="00C9643F">
        <w:rPr>
          <w:rFonts w:ascii="Times New Roman" w:hAnsi="Times New Roman" w:cs="Times New Roman"/>
          <w:bCs/>
          <w:sz w:val="28"/>
          <w:szCs w:val="28"/>
          <w:bdr w:val="none" w:sz="0" w:space="0" w:color="auto" w:frame="1"/>
        </w:rPr>
        <w:t>вы</w:t>
      </w:r>
      <w:r>
        <w:rPr>
          <w:rFonts w:ascii="Times New Roman" w:hAnsi="Times New Roman" w:cs="Times New Roman"/>
          <w:bCs/>
          <w:sz w:val="28"/>
          <w:szCs w:val="28"/>
          <w:bdr w:val="none" w:sz="0" w:space="0" w:color="auto" w:frame="1"/>
        </w:rPr>
        <w:t>возимых из Российской Федерации».</w:t>
      </w:r>
    </w:p>
    <w:p w14:paraId="41DB799C" w14:textId="77777777" w:rsidR="005D224E" w:rsidRDefault="005D224E" w:rsidP="005D224E">
      <w:pPr>
        <w:spacing w:after="0" w:line="360" w:lineRule="auto"/>
        <w:ind w:firstLine="709"/>
        <w:jc w:val="both"/>
        <w:rPr>
          <w:rFonts w:ascii="Times New Roman" w:eastAsia="Calibri" w:hAnsi="Times New Roman" w:cs="Times New Roman"/>
          <w:color w:val="000000"/>
          <w:sz w:val="28"/>
          <w:szCs w:val="28"/>
        </w:rPr>
      </w:pPr>
      <w:r>
        <w:rPr>
          <w:rFonts w:ascii="Times New Roman" w:hAnsi="Times New Roman" w:cs="Times New Roman"/>
          <w:sz w:val="28"/>
          <w:szCs w:val="28"/>
        </w:rPr>
        <w:lastRenderedPageBreak/>
        <w:t xml:space="preserve">От корректного определения таможенной стоимости зависит сумма таможенных платежей, которые будут переданы в федеральный бюджет, то есть оно способствует эффективному выполнению фискальной функции таможенных органов. Также верное определение таможенной стоимости влияет на достоверность статистических данных внешней торговли и на </w:t>
      </w:r>
      <w:r>
        <w:rPr>
          <w:rFonts w:ascii="Times New Roman" w:eastAsia="Calibri" w:hAnsi="Times New Roman" w:cs="Times New Roman"/>
          <w:color w:val="000000"/>
          <w:sz w:val="28"/>
          <w:szCs w:val="28"/>
        </w:rPr>
        <w:t>контроль за репатриацией валютной выручки.</w:t>
      </w:r>
    </w:p>
    <w:p w14:paraId="1BD52087"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eastAsia="Calibri" w:hAnsi="Times New Roman" w:cs="Times New Roman"/>
          <w:color w:val="000000"/>
          <w:sz w:val="28"/>
          <w:szCs w:val="28"/>
        </w:rPr>
        <w:t xml:space="preserve">Как уже упоминалось ранее, определение таможенной стоимости базируется на системе методов определения таможенной стоимости товаров. На сегодняшний день такое понятие, как декларирование таможенной стоимости, является составной частью понятия декларирование товаров. В декларации на товары информацию о величине таможенной стоимости можно найти в графе 45 ДТ, а информацию об используемом методе определения таможенной стоимости в графе 43. В определённых случаях есть необходимость заполнения декларации </w:t>
      </w:r>
      <w:r w:rsidRPr="00E03247">
        <w:rPr>
          <w:rFonts w:ascii="Times New Roman" w:hAnsi="Times New Roman" w:cs="Times New Roman"/>
          <w:sz w:val="28"/>
          <w:szCs w:val="28"/>
        </w:rPr>
        <w:t xml:space="preserve">таможенной стоимости товаров. </w:t>
      </w:r>
      <w:r>
        <w:rPr>
          <w:rFonts w:ascii="Times New Roman" w:hAnsi="Times New Roman" w:cs="Times New Roman"/>
          <w:sz w:val="28"/>
          <w:szCs w:val="28"/>
        </w:rPr>
        <w:t>П</w:t>
      </w:r>
      <w:r w:rsidRPr="0028744A">
        <w:rPr>
          <w:rFonts w:ascii="Times New Roman" w:hAnsi="Times New Roman" w:cs="Times New Roman"/>
          <w:sz w:val="28"/>
          <w:szCs w:val="28"/>
        </w:rPr>
        <w:t xml:space="preserve">ри этом используются формы ДТС-1 и ДТС-2 (при ввозе товаров), ДТС-3 и ДТС-4 (при вывозе товаров). </w:t>
      </w:r>
      <w:r>
        <w:rPr>
          <w:rFonts w:ascii="Times New Roman" w:hAnsi="Times New Roman" w:cs="Times New Roman"/>
          <w:sz w:val="28"/>
          <w:szCs w:val="28"/>
        </w:rPr>
        <w:t xml:space="preserve">Во избежание негативных последствий от недостоверного декларирования таможенные органы осуществляют контроль таможенной стоимости. </w:t>
      </w:r>
    </w:p>
    <w:p w14:paraId="5A4DA020" w14:textId="77777777" w:rsidR="005D224E"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sz w:val="28"/>
          <w:szCs w:val="28"/>
        </w:rPr>
        <w:t xml:space="preserve">Таможенная стоимость принимается в том случае, если во время таможенного контроля до выпуска товаров не были выявлены признаки некорректного определения таможенной стоимости товаров, а также </w:t>
      </w:r>
      <w:r w:rsidRPr="00E03247">
        <w:rPr>
          <w:rFonts w:ascii="Times New Roman" w:hAnsi="Times New Roman" w:cs="Times New Roman"/>
          <w:color w:val="000000"/>
          <w:sz w:val="28"/>
          <w:szCs w:val="28"/>
        </w:rPr>
        <w:t xml:space="preserve">если товары были выпущены до завершения проверки документов и сведений, а по результатам проверки была подтверждена их достоверность и полнота. </w:t>
      </w:r>
      <w:r>
        <w:rPr>
          <w:rFonts w:ascii="Times New Roman" w:hAnsi="Times New Roman" w:cs="Times New Roman"/>
          <w:color w:val="000000"/>
          <w:sz w:val="28"/>
          <w:szCs w:val="28"/>
        </w:rPr>
        <w:t xml:space="preserve">Алгоритм действий таможенных органов, совершаемых при осуществлении контроля таможенной стоимости </w:t>
      </w:r>
      <w:r w:rsidRPr="00E03247">
        <w:rPr>
          <w:rFonts w:ascii="Times New Roman" w:hAnsi="Times New Roman" w:cs="Times New Roman"/>
          <w:color w:val="000000"/>
          <w:sz w:val="28"/>
          <w:szCs w:val="28"/>
        </w:rPr>
        <w:t>закреплены в ст. 325 ТК ЕАЭС. Порядок проведения проверки делится на три этапа, связанные с комплектами запрашиваемых документов.</w:t>
      </w:r>
    </w:p>
    <w:p w14:paraId="6F04D798" w14:textId="77777777" w:rsidR="005D224E"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Применение отложенного определения таможенной стоимости делится на два этапа. Первый этап – до выпуска товаров, когда заявляется предварительная величина таможенной стоимости товаров. Второй этап – после выпуска товаров, когда декларант заявляет окончательную таможенную стоимость товаров. Сам </w:t>
      </w:r>
      <w:r>
        <w:rPr>
          <w:rFonts w:ascii="Times New Roman" w:hAnsi="Times New Roman" w:cs="Times New Roman"/>
          <w:color w:val="000000"/>
          <w:sz w:val="28"/>
          <w:szCs w:val="28"/>
        </w:rPr>
        <w:lastRenderedPageBreak/>
        <w:t>процесс отложенного определения таможенной стоимости товаров позволяет участнику ВЭД отложить срок определения таможенной стоимости на пятнадцать месяцев.</w:t>
      </w:r>
    </w:p>
    <w:p w14:paraId="27CFD89B" w14:textId="77777777" w:rsidR="005D224E" w:rsidRPr="00C763E0" w:rsidRDefault="005D224E" w:rsidP="005D224E">
      <w:pPr>
        <w:spacing w:after="0" w:line="36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Практика разрешения споров демонстрирует то, что в случаях, когда решение суда принимается не в сторону таможенных органов, такие решения не являются достаточно обоснованными. Доводы суда расходятся с основным положением о таможенной стоимости, закрепленным, как в ГАТТ ВТО, так и в </w:t>
      </w:r>
      <w:r>
        <w:rPr>
          <w:rFonts w:ascii="Times New Roman" w:hAnsi="Times New Roman" w:cs="Times New Roman"/>
          <w:sz w:val="28"/>
          <w:szCs w:val="28"/>
        </w:rPr>
        <w:t>Постановлении Верховного Суда РФ от 26.11.2019 № 49</w:t>
      </w:r>
      <w:r>
        <w:rPr>
          <w:rFonts w:ascii="Times New Roman" w:hAnsi="Times New Roman" w:cs="Times New Roman"/>
          <w:color w:val="000000"/>
          <w:sz w:val="28"/>
          <w:szCs w:val="28"/>
        </w:rPr>
        <w:t>, которое заключается в том, что таможенная стоимость основывается на действительной стоимости товара. Чаще всего судебные разбирательства происходят из-за того, что участники ВЭД умышленно занижают таможенную стоимость товаров, а также из-за того, что декларанты не могут документально подтвердить заявленную таможенную стоимость.</w:t>
      </w:r>
    </w:p>
    <w:p w14:paraId="6BB58BD8" w14:textId="77777777" w:rsidR="005D224E" w:rsidRDefault="005D224E" w:rsidP="005D224E">
      <w:pPr>
        <w:spacing w:after="0" w:line="360" w:lineRule="auto"/>
        <w:ind w:firstLine="709"/>
        <w:jc w:val="both"/>
        <w:rPr>
          <w:rFonts w:ascii="Times New Roman" w:hAnsi="Times New Roman" w:cs="Times New Roman"/>
          <w:color w:val="000000"/>
          <w:sz w:val="28"/>
          <w:szCs w:val="28"/>
        </w:rPr>
      </w:pPr>
      <w:r w:rsidRPr="00E03247">
        <w:rPr>
          <w:rFonts w:ascii="Times New Roman" w:hAnsi="Times New Roman" w:cs="Times New Roman"/>
          <w:color w:val="000000"/>
          <w:sz w:val="28"/>
          <w:szCs w:val="28"/>
        </w:rPr>
        <w:t xml:space="preserve">Изучив, практику разрешения споров, можно сделать вывод, что чаще всего действия таможенных органов признаются правомерными. Участники ВЭД не могут отстоять свою позицию и обосновать законность их действий, а также подтвердить ее предоставлением необходимых документов. </w:t>
      </w:r>
      <w:r>
        <w:rPr>
          <w:rFonts w:ascii="Times New Roman" w:hAnsi="Times New Roman" w:cs="Times New Roman"/>
          <w:color w:val="000000"/>
          <w:sz w:val="28"/>
          <w:szCs w:val="28"/>
        </w:rPr>
        <w:t xml:space="preserve">В случаях, когда суд не принимает сторону таможенного органа, такие решения не являются достаточно обоснованными. </w:t>
      </w:r>
      <w:r w:rsidRPr="00E03247">
        <w:rPr>
          <w:rFonts w:ascii="Times New Roman" w:hAnsi="Times New Roman" w:cs="Times New Roman"/>
          <w:color w:val="000000"/>
          <w:sz w:val="28"/>
          <w:szCs w:val="28"/>
        </w:rPr>
        <w:t>Также, декларант чаще всего пытается умышленно занизить таможенную стоимость, чтобы избежать уплату больших сумм таможенных платежей.</w:t>
      </w:r>
    </w:p>
    <w:p w14:paraId="2EC2DFFF"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color w:val="000000"/>
          <w:sz w:val="28"/>
          <w:szCs w:val="28"/>
        </w:rPr>
        <w:t>Несмотря на то, что на наднациональном уровне закреплены правила применения каждого из методов поредения таможенной стоимости товаров, при их использовании возникают некоторые трудности. Что касается метода 1, то чаще всего они связаны с</w:t>
      </w:r>
      <w:r>
        <w:rPr>
          <w:rFonts w:ascii="Times New Roman" w:hAnsi="Times New Roman" w:cs="Times New Roman"/>
          <w:sz w:val="28"/>
          <w:szCs w:val="28"/>
        </w:rPr>
        <w:t xml:space="preserve"> включением лицензионных платежей и с дополнительными начислениями, в частности с включением вознаграждения за экспедиторские услуги в таможенную стоимость. При определении таможенной стоимости по методу 2 и методу 3 можно столкнуться с проблемой использования курса при осуществлении корректировки на разницу в транспортных, страховых расходах, а также при поправке на количество, так как </w:t>
      </w:r>
      <w:r>
        <w:rPr>
          <w:rFonts w:ascii="Times New Roman" w:hAnsi="Times New Roman" w:cs="Times New Roman"/>
          <w:sz w:val="28"/>
          <w:szCs w:val="28"/>
        </w:rPr>
        <w:lastRenderedPageBreak/>
        <w:t>в РКЕЭК №202 отсутствует методика расчёта таких корректировок. Из этого возникает необходимость в дополнении Решения КЕЭК от 30.10.2012 № 202 такой методикой. Создание открытой базы данных участников ВЭД, может облегчить поиск информации для применения метода вычитания.</w:t>
      </w:r>
    </w:p>
    <w:p w14:paraId="0517FD4D" w14:textId="77777777" w:rsidR="005D224E" w:rsidRPr="00EA40AD"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Декларант должен осознавать возможность запроса документов и сведений, подтверждающих заявленную таможенную стоимость, а значит быть готовым подтвердить ее документально. Благодаря активному взаимодействию участников ВЭД с таможенными органами может сократиться количество судебных дел по вопросам таможенной стоимости, а некоторые споры могут быть разрешены в досудебном порядке. Для того, чтобы сократить количество спорных судебных решений, которые принимаются не в сторону таможенных органов, во-первых, необходимо обратить внимание на квалификацию судей, занимающихся такими делами, а также лиц, отсеивающих интересы таможенных органов в суде. Во-вторых, необходимо исключить применение декларантом в суде новых доказательств по делу, которые не были известны таможенному органу. В-третьих, необходимо искоренить практику принятия предоставления документов как довод, а в качестве довода использовать анализ данных документов и сведений.</w:t>
      </w:r>
    </w:p>
    <w:p w14:paraId="045D2747" w14:textId="77777777" w:rsidR="005D224E" w:rsidRDefault="005D224E" w:rsidP="005D224E">
      <w:pPr>
        <w:spacing w:after="0" w:line="360" w:lineRule="auto"/>
        <w:ind w:firstLine="709"/>
        <w:jc w:val="both"/>
        <w:rPr>
          <w:rFonts w:ascii="Times New Roman" w:hAnsi="Times New Roman" w:cs="Times New Roman"/>
          <w:sz w:val="28"/>
          <w:szCs w:val="28"/>
        </w:rPr>
      </w:pPr>
      <w:r>
        <w:rPr>
          <w:rFonts w:ascii="Times New Roman" w:hAnsi="Times New Roman" w:cs="Times New Roman"/>
          <w:sz w:val="28"/>
          <w:szCs w:val="28"/>
        </w:rPr>
        <w:t>Во время заполнения декларации таможенной стоимости товаров возникают вопросы, касающиеся заполнения граф о месте доставки товаров. В связи с необходимостью нормативного закрепления методики расчета корректировки расходов на транспортировку, страховку при использовании метода 2 и метода 3, возникает необходимость закрепить графы «*» таким образом, чтобы было указано два использующихся курса валюты. На сегодняшний день процесс контроля таможенной стоимости требует создания программного средства, автоматизирующего поиска источника ценовой информации, а также упрощающего расчет таможенной стоимости, автоматизируя распределение стоимости транспортировки и страховки между товарами.</w:t>
      </w:r>
    </w:p>
    <w:p w14:paraId="04B87A08" w14:textId="282CD8F2" w:rsidR="009E2BB0" w:rsidRDefault="009E2BB0"/>
    <w:p w14:paraId="5B8B92C1" w14:textId="0AC1BF17" w:rsidR="00CA3384" w:rsidRDefault="00CA3384" w:rsidP="00CA3384">
      <w:pPr>
        <w:pStyle w:val="1"/>
        <w:jc w:val="center"/>
        <w:rPr>
          <w:rFonts w:ascii="Times New Roman" w:hAnsi="Times New Roman" w:cs="Times New Roman"/>
          <w:b/>
          <w:color w:val="auto"/>
          <w:sz w:val="28"/>
          <w:szCs w:val="28"/>
        </w:rPr>
      </w:pPr>
      <w:bookmarkStart w:id="35" w:name="_Toc152675682"/>
      <w:r w:rsidRPr="00CA3384">
        <w:rPr>
          <w:rFonts w:ascii="Times New Roman" w:hAnsi="Times New Roman" w:cs="Times New Roman"/>
          <w:b/>
          <w:color w:val="auto"/>
          <w:sz w:val="28"/>
          <w:szCs w:val="28"/>
        </w:rPr>
        <w:lastRenderedPageBreak/>
        <w:t>СПИСОК ИСПОЛЬЗУЕМЫХ ИСТОЧНИКОВ</w:t>
      </w:r>
      <w:bookmarkEnd w:id="35"/>
    </w:p>
    <w:p w14:paraId="45CC9F03" w14:textId="77777777" w:rsidR="00820C88" w:rsidRPr="00820C88" w:rsidRDefault="00820C88" w:rsidP="00820C88"/>
    <w:p w14:paraId="08FB12C9" w14:textId="7996016E" w:rsidR="00CA3384" w:rsidRPr="00820C88" w:rsidRDefault="00820C88" w:rsidP="00820C88">
      <w:pPr>
        <w:jc w:val="center"/>
        <w:rPr>
          <w:rFonts w:ascii="Times New Roman" w:hAnsi="Times New Roman" w:cs="Times New Roman"/>
          <w:b/>
          <w:sz w:val="28"/>
          <w:szCs w:val="28"/>
        </w:rPr>
      </w:pPr>
      <w:r w:rsidRPr="00820C88">
        <w:rPr>
          <w:rFonts w:ascii="Times New Roman" w:hAnsi="Times New Roman" w:cs="Times New Roman"/>
          <w:b/>
          <w:sz w:val="28"/>
          <w:szCs w:val="28"/>
        </w:rPr>
        <w:t>Нормативно-правовые акты</w:t>
      </w:r>
    </w:p>
    <w:p w14:paraId="32FA9F63" w14:textId="2C4D81F6" w:rsidR="00820C88" w:rsidRDefault="00820C88" w:rsidP="008A1663">
      <w:pPr>
        <w:pStyle w:val="a5"/>
        <w:numPr>
          <w:ilvl w:val="0"/>
          <w:numId w:val="2"/>
        </w:numPr>
        <w:spacing w:after="0" w:line="360" w:lineRule="auto"/>
        <w:ind w:left="0" w:firstLine="709"/>
        <w:jc w:val="both"/>
        <w:rPr>
          <w:rFonts w:ascii="Times New Roman" w:hAnsi="Times New Roman" w:cs="Times New Roman"/>
          <w:sz w:val="28"/>
          <w:szCs w:val="28"/>
        </w:rPr>
      </w:pPr>
      <w:r w:rsidRPr="008A1663">
        <w:rPr>
          <w:rFonts w:ascii="Times New Roman" w:hAnsi="Times New Roman" w:cs="Times New Roman"/>
          <w:sz w:val="28"/>
          <w:szCs w:val="28"/>
        </w:rPr>
        <w:t>Международная конвенция об упрощении и гармонизации таможенных процедур от 18 мая 1973 года в редакции Протокола о внесении изменений в Международную конвенцию об упрощении и гармонизации таможенных процедур от 26 июня 1999 года. - URL: Официальный интернет-портал правовой информации http://www.pravo.gov.ru, 23.07.2020</w:t>
      </w:r>
    </w:p>
    <w:p w14:paraId="347F76D6" w14:textId="54C183A0" w:rsidR="002D44E4" w:rsidRPr="008A1663" w:rsidRDefault="002D44E4" w:rsidP="008A1663">
      <w:pPr>
        <w:pStyle w:val="a5"/>
        <w:numPr>
          <w:ilvl w:val="0"/>
          <w:numId w:val="2"/>
        </w:numPr>
        <w:spacing w:after="0" w:line="360" w:lineRule="auto"/>
        <w:ind w:left="0" w:firstLine="709"/>
        <w:jc w:val="both"/>
        <w:rPr>
          <w:rFonts w:ascii="Times New Roman" w:hAnsi="Times New Roman" w:cs="Times New Roman"/>
          <w:sz w:val="28"/>
          <w:szCs w:val="28"/>
        </w:rPr>
      </w:pPr>
      <w:r w:rsidRPr="002D44E4">
        <w:rPr>
          <w:rFonts w:ascii="Times New Roman" w:hAnsi="Times New Roman" w:cs="Times New Roman"/>
          <w:sz w:val="28"/>
          <w:szCs w:val="28"/>
        </w:rPr>
        <w:t>Соглашение ВТО от 15.04.1994 "Соглашение по применению статьи VII Генерального соглашения по тарифам и торговле 1994 года)</w:t>
      </w:r>
      <w:r>
        <w:rPr>
          <w:rFonts w:ascii="Times New Roman" w:hAnsi="Times New Roman" w:cs="Times New Roman"/>
          <w:sz w:val="28"/>
          <w:szCs w:val="28"/>
        </w:rPr>
        <w:t>//</w:t>
      </w:r>
      <w:r w:rsidRPr="002D44E4">
        <w:rPr>
          <w:rFonts w:ascii="Times New Roman" w:hAnsi="Times New Roman" w:cs="Times New Roman"/>
          <w:sz w:val="28"/>
          <w:szCs w:val="28"/>
        </w:rPr>
        <w:t xml:space="preserve"> </w:t>
      </w:r>
      <w:r w:rsidRPr="008A1663">
        <w:rPr>
          <w:rFonts w:ascii="Times New Roman" w:hAnsi="Times New Roman" w:cs="Times New Roman"/>
          <w:sz w:val="28"/>
          <w:szCs w:val="28"/>
        </w:rPr>
        <w:t>URL: Официальный интернет-портал правовой информации http://www.pravo.gov.ru</w:t>
      </w:r>
    </w:p>
    <w:p w14:paraId="32E963AF" w14:textId="059BBCB1" w:rsidR="00820C88" w:rsidRPr="008A1663" w:rsidRDefault="00820C88" w:rsidP="008A1663">
      <w:pPr>
        <w:pStyle w:val="a5"/>
        <w:numPr>
          <w:ilvl w:val="0"/>
          <w:numId w:val="2"/>
        </w:numPr>
        <w:spacing w:after="0" w:line="360" w:lineRule="auto"/>
        <w:ind w:left="0" w:firstLine="709"/>
        <w:jc w:val="both"/>
        <w:rPr>
          <w:rFonts w:ascii="Times New Roman" w:hAnsi="Times New Roman" w:cs="Times New Roman"/>
          <w:sz w:val="28"/>
          <w:szCs w:val="28"/>
        </w:rPr>
      </w:pPr>
      <w:r w:rsidRPr="008A1663">
        <w:rPr>
          <w:rFonts w:ascii="Times New Roman" w:hAnsi="Times New Roman" w:cs="Times New Roman"/>
          <w:sz w:val="28"/>
          <w:szCs w:val="28"/>
        </w:rPr>
        <w:t xml:space="preserve">Таможенный кодекс Евразийского экономического союза (ред. от 29.05.2019) (приложение N 1 к Договору о Таможенном кодексе Евразийского экономического союза) - URL: Официальный интернет- портал правовой информации http://www.pravo.gov.ru, 23.07.2021. </w:t>
      </w:r>
    </w:p>
    <w:p w14:paraId="08921A66" w14:textId="68608384" w:rsidR="00820C88" w:rsidRDefault="00820C88" w:rsidP="008A1663">
      <w:pPr>
        <w:pStyle w:val="a5"/>
        <w:numPr>
          <w:ilvl w:val="0"/>
          <w:numId w:val="2"/>
        </w:numPr>
        <w:spacing w:after="0" w:line="360" w:lineRule="auto"/>
        <w:ind w:left="0" w:firstLine="709"/>
        <w:jc w:val="both"/>
        <w:rPr>
          <w:rFonts w:ascii="Times New Roman" w:hAnsi="Times New Roman" w:cs="Times New Roman"/>
          <w:sz w:val="28"/>
          <w:szCs w:val="28"/>
        </w:rPr>
      </w:pPr>
      <w:r w:rsidRPr="008A1663">
        <w:rPr>
          <w:rFonts w:ascii="Times New Roman" w:hAnsi="Times New Roman" w:cs="Times New Roman"/>
          <w:sz w:val="28"/>
          <w:szCs w:val="28"/>
        </w:rPr>
        <w:t>Решение Коллегии Евразийской экономической комиссии от 25 декабря 2018 г. N 210 «Об утверждении Методологии ведения статистики взаимной торговли товарами государств – членов Евразийского экономического союза и Методологии ведения таможенной статистики внешней торговли товарами государств – членов Евразийского экономического союза» (в ред. решения Коллегии Евразийской экономической комиссии от 31.08.2019 N 128) Официальный сайт Евразийского экономического союза http://www.eaeunion.org, 12.03.2021</w:t>
      </w:r>
    </w:p>
    <w:p w14:paraId="59A241C8" w14:textId="7EC1B04F" w:rsidR="004572C7" w:rsidRPr="008A1663" w:rsidRDefault="004572C7" w:rsidP="008A1663">
      <w:pPr>
        <w:pStyle w:val="a5"/>
        <w:numPr>
          <w:ilvl w:val="0"/>
          <w:numId w:val="2"/>
        </w:numPr>
        <w:spacing w:after="0" w:line="360" w:lineRule="auto"/>
        <w:ind w:left="0" w:firstLine="709"/>
        <w:jc w:val="both"/>
        <w:rPr>
          <w:rFonts w:ascii="Times New Roman" w:hAnsi="Times New Roman" w:cs="Times New Roman"/>
          <w:sz w:val="28"/>
          <w:szCs w:val="28"/>
        </w:rPr>
      </w:pPr>
      <w:r w:rsidRPr="004572C7">
        <w:rPr>
          <w:rFonts w:ascii="Times New Roman" w:hAnsi="Times New Roman" w:cs="Times New Roman"/>
          <w:sz w:val="28"/>
          <w:szCs w:val="28"/>
        </w:rPr>
        <w:t>Решение Коллегии Евразийской экономической комиссии от 27.03.2018 N 42 (ред. от 11.01.2022) "Об особенностях проведения таможенного контроля таможенной стоимости товаров, ввозимых на таможенную территорию Евразийского экономического союза" (вместе с "Положением об особенностях проведения таможенного контроля таможенной стоимости товаров, ввозимых на таможенную территорию Евразийского экономического союза")</w:t>
      </w:r>
      <w:r>
        <w:rPr>
          <w:rFonts w:ascii="Times New Roman" w:hAnsi="Times New Roman" w:cs="Times New Roman"/>
          <w:sz w:val="28"/>
          <w:szCs w:val="28"/>
        </w:rPr>
        <w:t>/</w:t>
      </w:r>
      <w:r w:rsidRPr="004572C7">
        <w:t xml:space="preserve"> </w:t>
      </w:r>
      <w:r w:rsidRPr="004572C7">
        <w:rPr>
          <w:rFonts w:ascii="Times New Roman" w:hAnsi="Times New Roman" w:cs="Times New Roman"/>
          <w:sz w:val="28"/>
          <w:szCs w:val="28"/>
        </w:rPr>
        <w:t>Официальный сайт Евразийского экономического союза http://www.eaeunion.org/, 02.04.2018.</w:t>
      </w:r>
    </w:p>
    <w:p w14:paraId="341B3577" w14:textId="03A68CB4" w:rsidR="00820C88" w:rsidRPr="008A1663" w:rsidRDefault="008A1663" w:rsidP="008A1663">
      <w:pPr>
        <w:pStyle w:val="a5"/>
        <w:numPr>
          <w:ilvl w:val="0"/>
          <w:numId w:val="2"/>
        </w:numPr>
        <w:spacing w:after="0" w:line="360" w:lineRule="auto"/>
        <w:ind w:left="0" w:firstLine="709"/>
        <w:jc w:val="both"/>
        <w:rPr>
          <w:rFonts w:ascii="Times New Roman" w:hAnsi="Times New Roman" w:cs="Times New Roman"/>
          <w:sz w:val="28"/>
          <w:szCs w:val="28"/>
        </w:rPr>
      </w:pPr>
      <w:r w:rsidRPr="008A1663">
        <w:rPr>
          <w:rFonts w:ascii="Times New Roman" w:hAnsi="Times New Roman" w:cs="Times New Roman"/>
          <w:sz w:val="28"/>
          <w:szCs w:val="28"/>
        </w:rPr>
        <w:lastRenderedPageBreak/>
        <w:t xml:space="preserve">Решение Коллегии Евразийской экономической комиссии № 202 от 30.10.2012. «О применении методов определения таможенной стоимости товаров по стоимости сделки с идентичными товарами (метод 2) и по стоимости сделки с однородными товарами (метод 3)» // Официальный сайт Евразийской экономической комиссии http://www.tsouz.ru/, 31.10.2012. </w:t>
      </w:r>
    </w:p>
    <w:p w14:paraId="183EB8D7" w14:textId="6A99E69F" w:rsidR="008A1663" w:rsidRPr="008A1663" w:rsidRDefault="008A1663" w:rsidP="008A1663">
      <w:pPr>
        <w:pStyle w:val="a5"/>
        <w:numPr>
          <w:ilvl w:val="0"/>
          <w:numId w:val="2"/>
        </w:numPr>
        <w:spacing w:after="0" w:line="360" w:lineRule="auto"/>
        <w:ind w:left="0" w:firstLine="709"/>
        <w:jc w:val="both"/>
        <w:rPr>
          <w:rFonts w:ascii="Times New Roman" w:hAnsi="Times New Roman" w:cs="Times New Roman"/>
          <w:sz w:val="28"/>
          <w:szCs w:val="28"/>
        </w:rPr>
      </w:pPr>
      <w:r w:rsidRPr="008A1663">
        <w:rPr>
          <w:rFonts w:ascii="Times New Roman" w:hAnsi="Times New Roman" w:cs="Times New Roman"/>
          <w:sz w:val="28"/>
          <w:szCs w:val="28"/>
        </w:rPr>
        <w:t xml:space="preserve">Решение Коллегии Евразийской экономической комиссии № 214 от 13.11.2012. «О применении метода вычитания (метод 4) при определении 68 таможенной стоимости товаров» // Официальный сайт Евразийской экономической комиссии http://www.tsouz.ru/, 14.11.2012. </w:t>
      </w:r>
    </w:p>
    <w:p w14:paraId="72A7B76E" w14:textId="31C752BC" w:rsidR="008A1663" w:rsidRPr="008A1663" w:rsidRDefault="008A1663" w:rsidP="008A1663">
      <w:pPr>
        <w:pStyle w:val="a5"/>
        <w:numPr>
          <w:ilvl w:val="0"/>
          <w:numId w:val="2"/>
        </w:numPr>
        <w:spacing w:after="0" w:line="360" w:lineRule="auto"/>
        <w:ind w:left="0" w:firstLine="709"/>
        <w:jc w:val="both"/>
        <w:rPr>
          <w:rFonts w:ascii="Times New Roman" w:hAnsi="Times New Roman" w:cs="Times New Roman"/>
          <w:sz w:val="28"/>
          <w:szCs w:val="28"/>
        </w:rPr>
      </w:pPr>
      <w:r w:rsidRPr="008A1663">
        <w:rPr>
          <w:rFonts w:ascii="Times New Roman" w:hAnsi="Times New Roman" w:cs="Times New Roman"/>
          <w:sz w:val="28"/>
          <w:szCs w:val="28"/>
        </w:rPr>
        <w:t xml:space="preserve">Решение Коллегии Евразийской экономической комиссии № 273 от 12.12.2012. «О применении метода сложения (метод 5) при определении таможенной стоимости товаров» // Официальный сайт Евразийской экономической комиссии http://www.tsouz.ru/, 14.12.2012. </w:t>
      </w:r>
    </w:p>
    <w:p w14:paraId="6C53AFEA" w14:textId="2207A0F4" w:rsidR="008A1663" w:rsidRPr="008A1663" w:rsidRDefault="008A1663" w:rsidP="008A1663">
      <w:pPr>
        <w:pStyle w:val="a5"/>
        <w:numPr>
          <w:ilvl w:val="0"/>
          <w:numId w:val="2"/>
        </w:numPr>
        <w:spacing w:after="0" w:line="360" w:lineRule="auto"/>
        <w:ind w:left="0" w:firstLine="709"/>
        <w:jc w:val="both"/>
        <w:rPr>
          <w:rFonts w:ascii="Times New Roman" w:hAnsi="Times New Roman" w:cs="Times New Roman"/>
          <w:sz w:val="28"/>
          <w:szCs w:val="28"/>
        </w:rPr>
      </w:pPr>
      <w:r w:rsidRPr="008A1663">
        <w:rPr>
          <w:rFonts w:ascii="Times New Roman" w:hAnsi="Times New Roman" w:cs="Times New Roman"/>
          <w:sz w:val="28"/>
          <w:szCs w:val="28"/>
        </w:rPr>
        <w:t xml:space="preserve">Решение Коллегии Евразийской экономической комиссии № 283 от 20.12.2012. «О применении метода определения таможенной стоимости товаров по стоимости сделки с ввозимыми товарами (метод 1)» // Официальный сайт Евразийской экономической комиссии http://www.tsouz.ru/, 26.12.2012. </w:t>
      </w:r>
    </w:p>
    <w:p w14:paraId="53355744" w14:textId="4EC632A7" w:rsidR="008A1663" w:rsidRDefault="008A1663" w:rsidP="008A1663">
      <w:pPr>
        <w:pStyle w:val="a5"/>
        <w:numPr>
          <w:ilvl w:val="0"/>
          <w:numId w:val="2"/>
        </w:numPr>
        <w:spacing w:after="0" w:line="360" w:lineRule="auto"/>
        <w:ind w:left="0" w:firstLine="709"/>
        <w:jc w:val="both"/>
        <w:rPr>
          <w:rFonts w:ascii="Times New Roman" w:hAnsi="Times New Roman" w:cs="Times New Roman"/>
          <w:sz w:val="28"/>
          <w:szCs w:val="28"/>
        </w:rPr>
      </w:pPr>
      <w:r w:rsidRPr="008A1663">
        <w:rPr>
          <w:rFonts w:ascii="Times New Roman" w:hAnsi="Times New Roman" w:cs="Times New Roman"/>
          <w:sz w:val="28"/>
          <w:szCs w:val="28"/>
        </w:rPr>
        <w:t xml:space="preserve">Решение Коллегии Евразийской экономической комиссии № 145 от 25.06.2013. «Об утверждении Положения об особенностях применения методов определения таможенной стоимости товаров, ввозимых на единую таможенную территорию Таможенного союза, пришедших в негодность, испорченных или поврежденных вследствие аварии или действия непреодолимой силы» // Официальный сайт Евразийской экономической комиссии http://www.eurasiancommission.org/, 02.07.2013. </w:t>
      </w:r>
    </w:p>
    <w:p w14:paraId="2492056A" w14:textId="43E4861B" w:rsidR="00B27F6A" w:rsidRPr="008A1663" w:rsidRDefault="00B27F6A" w:rsidP="008A1663">
      <w:pPr>
        <w:pStyle w:val="a5"/>
        <w:numPr>
          <w:ilvl w:val="0"/>
          <w:numId w:val="2"/>
        </w:numPr>
        <w:spacing w:after="0" w:line="360" w:lineRule="auto"/>
        <w:ind w:left="0" w:firstLine="709"/>
        <w:jc w:val="both"/>
        <w:rPr>
          <w:rFonts w:ascii="Times New Roman" w:hAnsi="Times New Roman" w:cs="Times New Roman"/>
          <w:sz w:val="28"/>
          <w:szCs w:val="28"/>
        </w:rPr>
      </w:pPr>
      <w:r w:rsidRPr="00B27F6A">
        <w:rPr>
          <w:rFonts w:ascii="Times New Roman" w:hAnsi="Times New Roman" w:cs="Times New Roman"/>
          <w:sz w:val="28"/>
          <w:szCs w:val="28"/>
        </w:rPr>
        <w:t>Решение Коллегии Евразийской экономической комиссии от 16.10.2018 N 160 (ред. от 15.08.2023) "О случаях заполнения декларации таможенной стоимости, утверждении форм декларации таможенной стоимости и Порядка заполнения декларации таможенной стоимости"</w:t>
      </w:r>
      <w:r>
        <w:rPr>
          <w:rFonts w:ascii="Times New Roman" w:hAnsi="Times New Roman" w:cs="Times New Roman"/>
          <w:sz w:val="28"/>
          <w:szCs w:val="28"/>
        </w:rPr>
        <w:t>//</w:t>
      </w:r>
      <w:r w:rsidRPr="00B27F6A">
        <w:t xml:space="preserve"> </w:t>
      </w:r>
      <w:r w:rsidRPr="00B27F6A">
        <w:rPr>
          <w:rFonts w:ascii="Times New Roman" w:hAnsi="Times New Roman" w:cs="Times New Roman"/>
          <w:sz w:val="28"/>
          <w:szCs w:val="28"/>
        </w:rPr>
        <w:t>Официальный сайт Евразийского экономического союза http://www.eaeunion.org/, 19.10.2018,</w:t>
      </w:r>
    </w:p>
    <w:p w14:paraId="654D3FF8" w14:textId="706C7C84" w:rsidR="008A1663" w:rsidRPr="008A1663" w:rsidRDefault="008A1663" w:rsidP="008A1663">
      <w:pPr>
        <w:pStyle w:val="a5"/>
        <w:numPr>
          <w:ilvl w:val="0"/>
          <w:numId w:val="2"/>
        </w:numPr>
        <w:spacing w:after="0" w:line="360" w:lineRule="auto"/>
        <w:ind w:left="0" w:firstLine="709"/>
        <w:jc w:val="both"/>
        <w:rPr>
          <w:rFonts w:ascii="Times New Roman" w:hAnsi="Times New Roman" w:cs="Times New Roman"/>
          <w:sz w:val="28"/>
          <w:szCs w:val="28"/>
        </w:rPr>
      </w:pPr>
      <w:r w:rsidRPr="008A1663">
        <w:rPr>
          <w:rFonts w:ascii="Times New Roman" w:hAnsi="Times New Roman" w:cs="Times New Roman"/>
          <w:sz w:val="28"/>
          <w:szCs w:val="28"/>
        </w:rPr>
        <w:lastRenderedPageBreak/>
        <w:t>Решение Коллегии Евразийской экономической комиссии № 180 от 27.08.2013. «Об утверждении Положения об особенностях применения методов определения таможенной стоимости товаров, перемещенных через таможенную границу Таможенного союза с недекларированием» // Официальный сайт Евразийского экономического союза http://www.eaeunion.org/, 28.12.2020</w:t>
      </w:r>
    </w:p>
    <w:p w14:paraId="7CF1D625" w14:textId="0CF1C3E6" w:rsidR="008A1663" w:rsidRPr="008A1663" w:rsidRDefault="008A1663" w:rsidP="008A1663">
      <w:pPr>
        <w:pStyle w:val="a5"/>
        <w:numPr>
          <w:ilvl w:val="0"/>
          <w:numId w:val="2"/>
        </w:numPr>
        <w:spacing w:after="0" w:line="360" w:lineRule="auto"/>
        <w:ind w:left="0" w:firstLine="709"/>
        <w:jc w:val="both"/>
        <w:rPr>
          <w:rFonts w:ascii="Times New Roman" w:hAnsi="Times New Roman" w:cs="Times New Roman"/>
          <w:sz w:val="28"/>
          <w:szCs w:val="28"/>
        </w:rPr>
      </w:pPr>
      <w:r w:rsidRPr="008A1663">
        <w:rPr>
          <w:rFonts w:ascii="Times New Roman" w:hAnsi="Times New Roman" w:cs="Times New Roman"/>
          <w:sz w:val="28"/>
          <w:szCs w:val="28"/>
        </w:rPr>
        <w:t xml:space="preserve">Решение Коллегии Евразийской экономической комиссии № 289 от 10.12.2013. «О внесении изменений и (или) дополнений в сведения, указанные в декларации на товары, и признании утратившими силу 69 некоторых решений Комиссии Таможенного союза и Коллегии Евразийской экономической комиссии» // Официальный сайт Евразийской экономической комиссии http://www.eurasiancommission.org/, 11.12.2013. </w:t>
      </w:r>
    </w:p>
    <w:p w14:paraId="5BC30C4E" w14:textId="45573B72" w:rsidR="008A1663" w:rsidRPr="008A1663" w:rsidRDefault="008A1663" w:rsidP="008A1663">
      <w:pPr>
        <w:pStyle w:val="a5"/>
        <w:numPr>
          <w:ilvl w:val="0"/>
          <w:numId w:val="2"/>
        </w:numPr>
        <w:spacing w:after="0" w:line="360" w:lineRule="auto"/>
        <w:ind w:left="0" w:firstLine="709"/>
        <w:jc w:val="both"/>
        <w:rPr>
          <w:rFonts w:ascii="Times New Roman" w:hAnsi="Times New Roman" w:cs="Times New Roman"/>
          <w:sz w:val="28"/>
          <w:szCs w:val="28"/>
        </w:rPr>
      </w:pPr>
      <w:r w:rsidRPr="008A1663">
        <w:rPr>
          <w:rFonts w:ascii="Times New Roman" w:hAnsi="Times New Roman" w:cs="Times New Roman"/>
          <w:sz w:val="28"/>
          <w:szCs w:val="28"/>
        </w:rPr>
        <w:t>Федеральный закон «Об основах государственного регулирования внешнеторговой деятельности» от 08.12.2003 N 164-ФЗ // «Собрание законодательства РФ», 15.12.2022, N 50, ст. 485.</w:t>
      </w:r>
    </w:p>
    <w:p w14:paraId="3E90649F" w14:textId="6C42E9A9" w:rsidR="008A1663" w:rsidRPr="008A1663" w:rsidRDefault="008A1663" w:rsidP="008A1663">
      <w:pPr>
        <w:pStyle w:val="a5"/>
        <w:numPr>
          <w:ilvl w:val="0"/>
          <w:numId w:val="2"/>
        </w:numPr>
        <w:spacing w:after="0" w:line="360" w:lineRule="auto"/>
        <w:ind w:left="0" w:firstLine="709"/>
        <w:jc w:val="both"/>
        <w:rPr>
          <w:rFonts w:ascii="Times New Roman" w:hAnsi="Times New Roman" w:cs="Times New Roman"/>
          <w:sz w:val="28"/>
          <w:szCs w:val="28"/>
        </w:rPr>
      </w:pPr>
      <w:r w:rsidRPr="008A1663">
        <w:rPr>
          <w:rFonts w:ascii="Times New Roman" w:hAnsi="Times New Roman" w:cs="Times New Roman"/>
          <w:sz w:val="28"/>
          <w:szCs w:val="28"/>
        </w:rPr>
        <w:t>Федеральный закон от 3 августа 2018 года N 289-ФЗ «О таможенном регулировании в Российской Федерации и о внесении изменений в отдельные законодательные акты Российской Федерации» // «Собрание законодательства РФ», 05.05.2020, N 18 (часть IV), ст. 2174.</w:t>
      </w:r>
    </w:p>
    <w:p w14:paraId="5E0AE317" w14:textId="6AF9BE21" w:rsidR="008A1663" w:rsidRPr="008A1663" w:rsidRDefault="008A1663" w:rsidP="008A1663">
      <w:pPr>
        <w:pStyle w:val="a5"/>
        <w:numPr>
          <w:ilvl w:val="0"/>
          <w:numId w:val="2"/>
        </w:numPr>
        <w:spacing w:after="0" w:line="360" w:lineRule="auto"/>
        <w:ind w:left="0" w:firstLine="709"/>
        <w:jc w:val="both"/>
        <w:rPr>
          <w:rFonts w:ascii="Times New Roman" w:hAnsi="Times New Roman" w:cs="Times New Roman"/>
          <w:sz w:val="28"/>
          <w:szCs w:val="28"/>
        </w:rPr>
      </w:pPr>
      <w:r w:rsidRPr="008A1663">
        <w:rPr>
          <w:rFonts w:ascii="Times New Roman" w:hAnsi="Times New Roman" w:cs="Times New Roman"/>
          <w:sz w:val="28"/>
          <w:szCs w:val="28"/>
        </w:rPr>
        <w:t>Федеральный закон «О некоммерческих организациях» от 12.01.1996 N 7-ФЗ // Собрание законодательства РФ, 15.01.1996, N 3, ст. 145.</w:t>
      </w:r>
    </w:p>
    <w:p w14:paraId="09FFDECB" w14:textId="271421C7" w:rsidR="008A1663" w:rsidRPr="008A1663" w:rsidRDefault="008A1663" w:rsidP="008A1663">
      <w:pPr>
        <w:pStyle w:val="a5"/>
        <w:numPr>
          <w:ilvl w:val="0"/>
          <w:numId w:val="2"/>
        </w:numPr>
        <w:spacing w:after="0" w:line="360" w:lineRule="auto"/>
        <w:ind w:left="0" w:firstLine="709"/>
        <w:jc w:val="both"/>
        <w:rPr>
          <w:rFonts w:ascii="Times New Roman" w:hAnsi="Times New Roman" w:cs="Times New Roman"/>
          <w:sz w:val="28"/>
          <w:szCs w:val="28"/>
        </w:rPr>
      </w:pPr>
      <w:r w:rsidRPr="008A1663">
        <w:rPr>
          <w:rFonts w:ascii="Times New Roman" w:hAnsi="Times New Roman" w:cs="Times New Roman"/>
          <w:sz w:val="28"/>
          <w:szCs w:val="28"/>
        </w:rPr>
        <w:t>Федеральный закон «Об экспортном контроле» от 18.07.1999 N 183-ФЗ // Собрание законодательства РФ, 26.07.2019, N 30, ст. 377.</w:t>
      </w:r>
    </w:p>
    <w:p w14:paraId="4A609041" w14:textId="3676C3A2" w:rsidR="008A1663" w:rsidRPr="008A1663" w:rsidRDefault="008A1663" w:rsidP="008A1663">
      <w:pPr>
        <w:pStyle w:val="a5"/>
        <w:numPr>
          <w:ilvl w:val="0"/>
          <w:numId w:val="2"/>
        </w:numPr>
        <w:spacing w:after="0" w:line="360" w:lineRule="auto"/>
        <w:ind w:left="0" w:firstLine="709"/>
        <w:jc w:val="both"/>
        <w:rPr>
          <w:rFonts w:ascii="Times New Roman" w:hAnsi="Times New Roman" w:cs="Times New Roman"/>
          <w:sz w:val="28"/>
          <w:szCs w:val="28"/>
        </w:rPr>
      </w:pPr>
      <w:r w:rsidRPr="008A1663">
        <w:rPr>
          <w:rFonts w:ascii="Times New Roman" w:hAnsi="Times New Roman" w:cs="Times New Roman"/>
          <w:sz w:val="28"/>
          <w:szCs w:val="28"/>
        </w:rPr>
        <w:t>Федеральный закон «О международном коммерческом арбитраже» (вместе с «Положением о Международном коммерческом арбитражном суде при Торгово-промышленной палате Российской Федерации», «Положением о Морской арбитражной комиссии при Торгово-промышленной палате Российской Федерации») от 07.07.1993 N 5338-1 (ред. от 29.12.2015) // Российская газета, N 156, 14.08.2019.</w:t>
      </w:r>
    </w:p>
    <w:p w14:paraId="68F86091" w14:textId="584C8007" w:rsidR="008A1663" w:rsidRPr="008A1663" w:rsidRDefault="008A1663" w:rsidP="008A1663">
      <w:pPr>
        <w:pStyle w:val="a5"/>
        <w:numPr>
          <w:ilvl w:val="0"/>
          <w:numId w:val="2"/>
        </w:numPr>
        <w:spacing w:after="0" w:line="360" w:lineRule="auto"/>
        <w:ind w:left="0" w:firstLine="709"/>
        <w:jc w:val="both"/>
        <w:rPr>
          <w:rFonts w:ascii="Times New Roman" w:hAnsi="Times New Roman" w:cs="Times New Roman"/>
          <w:sz w:val="28"/>
          <w:szCs w:val="28"/>
        </w:rPr>
      </w:pPr>
      <w:r w:rsidRPr="008A1663">
        <w:rPr>
          <w:rFonts w:ascii="Times New Roman" w:hAnsi="Times New Roman" w:cs="Times New Roman"/>
          <w:sz w:val="28"/>
          <w:szCs w:val="28"/>
        </w:rPr>
        <w:t xml:space="preserve">Постановление Правительства РФ от 15.04.2014 N 330 (ред. от 31.03.2017) «Об утверждении государственной программы Российской </w:t>
      </w:r>
      <w:r w:rsidRPr="008A1663">
        <w:rPr>
          <w:rFonts w:ascii="Times New Roman" w:hAnsi="Times New Roman" w:cs="Times New Roman"/>
          <w:sz w:val="28"/>
          <w:szCs w:val="28"/>
        </w:rPr>
        <w:lastRenderedPageBreak/>
        <w:t>Федерации «Развитие внешнеэкономической деятельности» // «Собрание законодательства РФ», 05.05.2014, N 18 (часть IV), ст. 2174.</w:t>
      </w:r>
    </w:p>
    <w:p w14:paraId="2DC32583" w14:textId="64808B87" w:rsidR="008A1663" w:rsidRDefault="008A1663" w:rsidP="008A1663">
      <w:pPr>
        <w:pStyle w:val="a5"/>
        <w:numPr>
          <w:ilvl w:val="0"/>
          <w:numId w:val="2"/>
        </w:numPr>
        <w:spacing w:after="0" w:line="360" w:lineRule="auto"/>
        <w:ind w:left="0" w:firstLine="709"/>
        <w:jc w:val="both"/>
        <w:rPr>
          <w:rFonts w:ascii="Times New Roman" w:hAnsi="Times New Roman" w:cs="Times New Roman"/>
          <w:sz w:val="28"/>
          <w:szCs w:val="28"/>
        </w:rPr>
      </w:pPr>
      <w:r w:rsidRPr="008A1663">
        <w:rPr>
          <w:rFonts w:ascii="Times New Roman" w:hAnsi="Times New Roman" w:cs="Times New Roman"/>
          <w:sz w:val="28"/>
          <w:szCs w:val="28"/>
        </w:rPr>
        <w:t>Распоряжение Правительства РФ от 28.07.2017 N 1632-р «Об утверждении программы «Цифровая экономика Российской Федерации» // «Собрание законодательства РФ», 07.08.2021, N 32, ст. 5138</w:t>
      </w:r>
    </w:p>
    <w:p w14:paraId="015ACAFB" w14:textId="78E31B32" w:rsidR="00D90BA0" w:rsidRDefault="002C7F85" w:rsidP="00D90BA0">
      <w:pPr>
        <w:pStyle w:val="a5"/>
        <w:numPr>
          <w:ilvl w:val="0"/>
          <w:numId w:val="2"/>
        </w:numPr>
        <w:spacing w:line="360" w:lineRule="auto"/>
        <w:ind w:left="0" w:firstLine="709"/>
        <w:jc w:val="both"/>
        <w:rPr>
          <w:rFonts w:ascii="Times New Roman" w:hAnsi="Times New Roman" w:cs="Times New Roman"/>
          <w:sz w:val="28"/>
          <w:szCs w:val="28"/>
        </w:rPr>
      </w:pPr>
      <w:r w:rsidRPr="00D90BA0">
        <w:rPr>
          <w:rFonts w:ascii="Times New Roman" w:hAnsi="Times New Roman" w:cs="Times New Roman"/>
          <w:sz w:val="28"/>
          <w:szCs w:val="28"/>
        </w:rPr>
        <w:t>Постановление Правительства РФ от 16.12.2019 № 1694 "Об утверждении Правил определения таможенной стоимости товаров, вывозимых из Российской Федерации"//</w:t>
      </w:r>
      <w:r w:rsidRPr="00D90BA0">
        <w:rPr>
          <w:rFonts w:ascii="Times New Roman" w:hAnsi="Times New Roman" w:cs="Times New Roman"/>
        </w:rPr>
        <w:t xml:space="preserve"> </w:t>
      </w:r>
      <w:r w:rsidR="00D90BA0" w:rsidRPr="00D90BA0">
        <w:rPr>
          <w:rFonts w:ascii="Times New Roman" w:hAnsi="Times New Roman" w:cs="Times New Roman"/>
          <w:sz w:val="28"/>
          <w:szCs w:val="28"/>
        </w:rPr>
        <w:t>"Собрание законодательства РФ", 30.12.2019, N 52 (часть I), ст. 7948</w:t>
      </w:r>
    </w:p>
    <w:p w14:paraId="3B9747BF" w14:textId="7CCAC9E7" w:rsidR="007535E6" w:rsidRPr="00D90BA0" w:rsidRDefault="007535E6" w:rsidP="00D90BA0">
      <w:pPr>
        <w:pStyle w:val="a5"/>
        <w:numPr>
          <w:ilvl w:val="0"/>
          <w:numId w:val="2"/>
        </w:numPr>
        <w:spacing w:line="360" w:lineRule="auto"/>
        <w:ind w:left="0" w:firstLine="709"/>
        <w:jc w:val="both"/>
        <w:rPr>
          <w:rFonts w:ascii="Times New Roman" w:hAnsi="Times New Roman" w:cs="Times New Roman"/>
          <w:sz w:val="28"/>
          <w:szCs w:val="28"/>
        </w:rPr>
      </w:pPr>
      <w:r w:rsidRPr="007535E6">
        <w:rPr>
          <w:rFonts w:ascii="Times New Roman" w:hAnsi="Times New Roman" w:cs="Times New Roman"/>
          <w:sz w:val="28"/>
          <w:szCs w:val="28"/>
        </w:rPr>
        <w:t>Приказ ФТС России от 21.05.2021 N 436 "Об установлении Порядка действий должностных лиц таможенных органов при таможенном контроле таможенной стоимости товаров, ввозимых в Российскую Федерацию или вывозимых из Российской Федерации" (Зарегистрировано в Минюсте России 25.06.2021 N 63979)</w:t>
      </w:r>
      <w:r>
        <w:rPr>
          <w:rFonts w:ascii="Times New Roman" w:hAnsi="Times New Roman" w:cs="Times New Roman"/>
          <w:sz w:val="28"/>
          <w:szCs w:val="28"/>
        </w:rPr>
        <w:t>/</w:t>
      </w:r>
      <w:r w:rsidRPr="007535E6">
        <w:t xml:space="preserve"> </w:t>
      </w:r>
      <w:r w:rsidRPr="007535E6">
        <w:rPr>
          <w:rFonts w:ascii="Times New Roman" w:hAnsi="Times New Roman" w:cs="Times New Roman"/>
          <w:sz w:val="28"/>
          <w:szCs w:val="28"/>
        </w:rPr>
        <w:t>Официальный интернет-портал правовой информации http://pravo.gov.ru, 25.06.2021</w:t>
      </w:r>
    </w:p>
    <w:p w14:paraId="09D86BA1" w14:textId="5B55B056" w:rsidR="008A1663" w:rsidRPr="00D90BA0" w:rsidRDefault="008A1663" w:rsidP="00D90BA0">
      <w:pPr>
        <w:pStyle w:val="a5"/>
        <w:spacing w:after="0" w:line="360" w:lineRule="auto"/>
        <w:ind w:left="2346"/>
        <w:rPr>
          <w:rFonts w:ascii="Times New Roman" w:hAnsi="Times New Roman" w:cs="Times New Roman"/>
          <w:b/>
          <w:sz w:val="28"/>
          <w:szCs w:val="28"/>
        </w:rPr>
      </w:pPr>
    </w:p>
    <w:p w14:paraId="67A853B0" w14:textId="77777777" w:rsidR="00394F92" w:rsidRPr="00394F92" w:rsidRDefault="00394F92" w:rsidP="00394F92">
      <w:pPr>
        <w:pStyle w:val="a5"/>
        <w:spacing w:after="0" w:line="360" w:lineRule="auto"/>
        <w:ind w:left="709"/>
        <w:jc w:val="center"/>
        <w:rPr>
          <w:rFonts w:ascii="Times New Roman" w:hAnsi="Times New Roman" w:cs="Times New Roman"/>
          <w:sz w:val="28"/>
          <w:szCs w:val="28"/>
        </w:rPr>
      </w:pPr>
      <w:r w:rsidRPr="00394F92">
        <w:rPr>
          <w:rFonts w:ascii="Times New Roman" w:hAnsi="Times New Roman" w:cs="Times New Roman"/>
          <w:b/>
          <w:sz w:val="28"/>
          <w:szCs w:val="28"/>
        </w:rPr>
        <w:t>Учебники, монографии, брошюры</w:t>
      </w:r>
    </w:p>
    <w:p w14:paraId="63D8D0E1" w14:textId="13725A8C" w:rsidR="003A5DF4" w:rsidRPr="00394968" w:rsidRDefault="003A5DF4" w:rsidP="00394968">
      <w:pPr>
        <w:pStyle w:val="a5"/>
        <w:numPr>
          <w:ilvl w:val="0"/>
          <w:numId w:val="2"/>
        </w:numPr>
        <w:spacing w:after="0" w:line="360" w:lineRule="auto"/>
        <w:ind w:left="0" w:firstLine="709"/>
        <w:jc w:val="both"/>
        <w:rPr>
          <w:rFonts w:ascii="Times New Roman" w:hAnsi="Times New Roman" w:cs="Times New Roman"/>
          <w:sz w:val="28"/>
          <w:szCs w:val="28"/>
        </w:rPr>
      </w:pPr>
      <w:r w:rsidRPr="00394968">
        <w:rPr>
          <w:rFonts w:ascii="Times New Roman" w:hAnsi="Times New Roman" w:cs="Times New Roman"/>
          <w:sz w:val="28"/>
          <w:szCs w:val="28"/>
        </w:rPr>
        <w:t>Александров</w:t>
      </w:r>
      <w:r w:rsidR="00E23FBE">
        <w:rPr>
          <w:rFonts w:ascii="Times New Roman" w:hAnsi="Times New Roman" w:cs="Times New Roman"/>
          <w:sz w:val="28"/>
          <w:szCs w:val="28"/>
        </w:rPr>
        <w:t>,</w:t>
      </w:r>
      <w:r w:rsidRPr="00394968">
        <w:rPr>
          <w:rFonts w:ascii="Times New Roman" w:hAnsi="Times New Roman" w:cs="Times New Roman"/>
          <w:sz w:val="28"/>
          <w:szCs w:val="28"/>
        </w:rPr>
        <w:t xml:space="preserve"> И. М. Таможенные сборы и пошлины. – М.: </w:t>
      </w:r>
      <w:proofErr w:type="spellStart"/>
      <w:r w:rsidRPr="00394968">
        <w:rPr>
          <w:rFonts w:ascii="Times New Roman" w:hAnsi="Times New Roman" w:cs="Times New Roman"/>
          <w:sz w:val="28"/>
          <w:szCs w:val="28"/>
        </w:rPr>
        <w:t>Издательско</w:t>
      </w:r>
      <w:proofErr w:type="spellEnd"/>
      <w:r w:rsidRPr="00394968">
        <w:rPr>
          <w:rFonts w:ascii="Times New Roman" w:hAnsi="Times New Roman" w:cs="Times New Roman"/>
          <w:sz w:val="28"/>
          <w:szCs w:val="28"/>
        </w:rPr>
        <w:t xml:space="preserve"> – торговая корпорация «Дашков и Ко», 20</w:t>
      </w:r>
      <w:r w:rsidR="00AD71F1">
        <w:rPr>
          <w:rFonts w:ascii="Times New Roman" w:hAnsi="Times New Roman" w:cs="Times New Roman"/>
          <w:sz w:val="28"/>
          <w:szCs w:val="28"/>
        </w:rPr>
        <w:t>22</w:t>
      </w:r>
      <w:r w:rsidRPr="00394968">
        <w:rPr>
          <w:rFonts w:ascii="Times New Roman" w:hAnsi="Times New Roman" w:cs="Times New Roman"/>
          <w:sz w:val="28"/>
          <w:szCs w:val="28"/>
        </w:rPr>
        <w:t xml:space="preserve">. – 318 с. </w:t>
      </w:r>
    </w:p>
    <w:p w14:paraId="2AC3E07E" w14:textId="25085938" w:rsidR="0043534F" w:rsidRPr="00394F92" w:rsidRDefault="003A5DF4" w:rsidP="008461DD">
      <w:pPr>
        <w:pStyle w:val="a5"/>
        <w:numPr>
          <w:ilvl w:val="0"/>
          <w:numId w:val="2"/>
        </w:numPr>
        <w:spacing w:after="0" w:line="360" w:lineRule="auto"/>
        <w:ind w:left="0" w:firstLine="709"/>
        <w:jc w:val="both"/>
        <w:rPr>
          <w:rFonts w:ascii="Times New Roman" w:hAnsi="Times New Roman" w:cs="Times New Roman"/>
          <w:sz w:val="28"/>
          <w:szCs w:val="28"/>
        </w:rPr>
      </w:pPr>
      <w:r w:rsidRPr="00394F92">
        <w:rPr>
          <w:rFonts w:ascii="Times New Roman" w:hAnsi="Times New Roman" w:cs="Times New Roman"/>
          <w:sz w:val="28"/>
          <w:szCs w:val="28"/>
        </w:rPr>
        <w:t xml:space="preserve"> </w:t>
      </w:r>
      <w:r w:rsidR="0043534F" w:rsidRPr="00394F92">
        <w:rPr>
          <w:rFonts w:ascii="Times New Roman" w:hAnsi="Times New Roman" w:cs="Times New Roman"/>
          <w:sz w:val="28"/>
          <w:szCs w:val="28"/>
        </w:rPr>
        <w:t>Бакаева</w:t>
      </w:r>
      <w:r w:rsidR="00E23FBE">
        <w:rPr>
          <w:rFonts w:ascii="Times New Roman" w:hAnsi="Times New Roman" w:cs="Times New Roman"/>
          <w:sz w:val="28"/>
          <w:szCs w:val="28"/>
        </w:rPr>
        <w:t>,</w:t>
      </w:r>
      <w:r w:rsidR="0043534F" w:rsidRPr="00394F92">
        <w:rPr>
          <w:rFonts w:ascii="Times New Roman" w:hAnsi="Times New Roman" w:cs="Times New Roman"/>
          <w:sz w:val="28"/>
          <w:szCs w:val="28"/>
        </w:rPr>
        <w:t xml:space="preserve"> О. Ю. Таможенное право России. – М.: </w:t>
      </w:r>
      <w:proofErr w:type="spellStart"/>
      <w:r w:rsidR="0043534F" w:rsidRPr="00394F92">
        <w:rPr>
          <w:rFonts w:ascii="Times New Roman" w:hAnsi="Times New Roman" w:cs="Times New Roman"/>
          <w:sz w:val="28"/>
          <w:szCs w:val="28"/>
        </w:rPr>
        <w:t>Юристъ</w:t>
      </w:r>
      <w:proofErr w:type="spellEnd"/>
      <w:r w:rsidR="0043534F" w:rsidRPr="00394F92">
        <w:rPr>
          <w:rFonts w:ascii="Times New Roman" w:hAnsi="Times New Roman" w:cs="Times New Roman"/>
          <w:sz w:val="28"/>
          <w:szCs w:val="28"/>
        </w:rPr>
        <w:t xml:space="preserve">, 2018. – 427 с. 29. </w:t>
      </w:r>
    </w:p>
    <w:p w14:paraId="24BDB4D3" w14:textId="3A9062C9" w:rsidR="003A5DF4" w:rsidRPr="00394F92" w:rsidRDefault="003A5DF4" w:rsidP="008461DD">
      <w:pPr>
        <w:pStyle w:val="a5"/>
        <w:numPr>
          <w:ilvl w:val="0"/>
          <w:numId w:val="2"/>
        </w:numPr>
        <w:spacing w:after="0" w:line="360" w:lineRule="auto"/>
        <w:ind w:left="0" w:firstLine="709"/>
        <w:jc w:val="both"/>
        <w:rPr>
          <w:rFonts w:ascii="Times New Roman" w:hAnsi="Times New Roman" w:cs="Times New Roman"/>
          <w:sz w:val="28"/>
          <w:szCs w:val="28"/>
        </w:rPr>
      </w:pPr>
      <w:r w:rsidRPr="00394F92">
        <w:rPr>
          <w:rFonts w:ascii="Times New Roman" w:hAnsi="Times New Roman" w:cs="Times New Roman"/>
          <w:sz w:val="28"/>
          <w:szCs w:val="28"/>
        </w:rPr>
        <w:t xml:space="preserve"> Баландина</w:t>
      </w:r>
      <w:r w:rsidR="00E23FBE">
        <w:rPr>
          <w:rFonts w:ascii="Times New Roman" w:hAnsi="Times New Roman" w:cs="Times New Roman"/>
          <w:sz w:val="28"/>
          <w:szCs w:val="28"/>
        </w:rPr>
        <w:t>,</w:t>
      </w:r>
      <w:r w:rsidRPr="00394F92">
        <w:rPr>
          <w:rFonts w:ascii="Times New Roman" w:hAnsi="Times New Roman" w:cs="Times New Roman"/>
          <w:sz w:val="28"/>
          <w:szCs w:val="28"/>
        </w:rPr>
        <w:t xml:space="preserve"> А. Г. </w:t>
      </w:r>
      <w:proofErr w:type="spellStart"/>
      <w:r w:rsidRPr="00394F92">
        <w:rPr>
          <w:rFonts w:ascii="Times New Roman" w:hAnsi="Times New Roman" w:cs="Times New Roman"/>
          <w:sz w:val="28"/>
          <w:szCs w:val="28"/>
        </w:rPr>
        <w:t>Таможенно</w:t>
      </w:r>
      <w:proofErr w:type="spellEnd"/>
      <w:r w:rsidRPr="00394F92">
        <w:rPr>
          <w:rFonts w:ascii="Times New Roman" w:hAnsi="Times New Roman" w:cs="Times New Roman"/>
          <w:sz w:val="28"/>
          <w:szCs w:val="28"/>
        </w:rPr>
        <w:t xml:space="preserve">–тарифная политика в России. – М.: Издательский дом Дело РАНХиГС, 2019. – 228 с. </w:t>
      </w:r>
    </w:p>
    <w:p w14:paraId="5C091B32" w14:textId="4C538133" w:rsidR="003A5DF4" w:rsidRDefault="003A5DF4" w:rsidP="0043534F">
      <w:pPr>
        <w:pStyle w:val="a5"/>
        <w:numPr>
          <w:ilvl w:val="0"/>
          <w:numId w:val="2"/>
        </w:numPr>
        <w:spacing w:after="0" w:line="360" w:lineRule="auto"/>
        <w:ind w:left="0" w:firstLine="709"/>
        <w:jc w:val="both"/>
        <w:rPr>
          <w:rFonts w:ascii="Times New Roman" w:hAnsi="Times New Roman" w:cs="Times New Roman"/>
          <w:sz w:val="28"/>
          <w:szCs w:val="28"/>
        </w:rPr>
      </w:pPr>
      <w:r w:rsidRPr="00394968">
        <w:rPr>
          <w:rFonts w:ascii="Times New Roman" w:hAnsi="Times New Roman" w:cs="Times New Roman"/>
          <w:sz w:val="28"/>
          <w:szCs w:val="28"/>
        </w:rPr>
        <w:t xml:space="preserve"> </w:t>
      </w:r>
      <w:proofErr w:type="spellStart"/>
      <w:r w:rsidRPr="00394968">
        <w:rPr>
          <w:rFonts w:ascii="Times New Roman" w:hAnsi="Times New Roman" w:cs="Times New Roman"/>
          <w:sz w:val="28"/>
          <w:szCs w:val="28"/>
        </w:rPr>
        <w:t>Буваева</w:t>
      </w:r>
      <w:proofErr w:type="spellEnd"/>
      <w:r w:rsidR="00E23FBE">
        <w:rPr>
          <w:rFonts w:ascii="Times New Roman" w:hAnsi="Times New Roman" w:cs="Times New Roman"/>
          <w:sz w:val="28"/>
          <w:szCs w:val="28"/>
        </w:rPr>
        <w:t>,</w:t>
      </w:r>
      <w:r w:rsidRPr="00394968">
        <w:rPr>
          <w:rFonts w:ascii="Times New Roman" w:hAnsi="Times New Roman" w:cs="Times New Roman"/>
          <w:sz w:val="28"/>
          <w:szCs w:val="28"/>
        </w:rPr>
        <w:t xml:space="preserve"> Г. Н. Международное таможенное право. – М.: </w:t>
      </w:r>
      <w:proofErr w:type="spellStart"/>
      <w:r w:rsidRPr="00394968">
        <w:rPr>
          <w:rFonts w:ascii="Times New Roman" w:hAnsi="Times New Roman" w:cs="Times New Roman"/>
          <w:sz w:val="28"/>
          <w:szCs w:val="28"/>
        </w:rPr>
        <w:t>Юрайт</w:t>
      </w:r>
      <w:proofErr w:type="spellEnd"/>
      <w:r w:rsidRPr="00394968">
        <w:rPr>
          <w:rFonts w:ascii="Times New Roman" w:hAnsi="Times New Roman" w:cs="Times New Roman"/>
          <w:sz w:val="28"/>
          <w:szCs w:val="28"/>
        </w:rPr>
        <w:t xml:space="preserve">, 2019. – 376 с. </w:t>
      </w:r>
    </w:p>
    <w:p w14:paraId="49B7DD96" w14:textId="502A8A04" w:rsidR="003A5DF4" w:rsidRPr="00394F92" w:rsidRDefault="003A5DF4" w:rsidP="008461DD">
      <w:pPr>
        <w:pStyle w:val="a5"/>
        <w:numPr>
          <w:ilvl w:val="0"/>
          <w:numId w:val="2"/>
        </w:numPr>
        <w:spacing w:after="0" w:line="360" w:lineRule="auto"/>
        <w:ind w:left="0" w:firstLine="709"/>
        <w:jc w:val="both"/>
        <w:rPr>
          <w:rFonts w:ascii="Times New Roman" w:hAnsi="Times New Roman" w:cs="Times New Roman"/>
          <w:sz w:val="28"/>
          <w:szCs w:val="28"/>
        </w:rPr>
      </w:pPr>
      <w:r w:rsidRPr="00394F92">
        <w:rPr>
          <w:rFonts w:ascii="Times New Roman" w:hAnsi="Times New Roman" w:cs="Times New Roman"/>
          <w:sz w:val="28"/>
          <w:szCs w:val="28"/>
        </w:rPr>
        <w:t>Давиденко</w:t>
      </w:r>
      <w:r w:rsidR="00E23FBE">
        <w:rPr>
          <w:rFonts w:ascii="Times New Roman" w:hAnsi="Times New Roman" w:cs="Times New Roman"/>
          <w:sz w:val="28"/>
          <w:szCs w:val="28"/>
        </w:rPr>
        <w:t>,</w:t>
      </w:r>
      <w:r w:rsidRPr="00394F92">
        <w:rPr>
          <w:rFonts w:ascii="Times New Roman" w:hAnsi="Times New Roman" w:cs="Times New Roman"/>
          <w:sz w:val="28"/>
          <w:szCs w:val="28"/>
        </w:rPr>
        <w:t xml:space="preserve"> Л.Г. Налоги и таможенные платежи. – СПб: ИЦ Интермедия, 2020. – 199 с.  </w:t>
      </w:r>
    </w:p>
    <w:p w14:paraId="7A45A673" w14:textId="0AFDA2DC" w:rsidR="003A5DF4" w:rsidRDefault="003A5DF4" w:rsidP="00394968">
      <w:pPr>
        <w:pStyle w:val="a5"/>
        <w:numPr>
          <w:ilvl w:val="0"/>
          <w:numId w:val="2"/>
        </w:numPr>
        <w:spacing w:after="0" w:line="360" w:lineRule="auto"/>
        <w:ind w:left="0" w:firstLine="709"/>
        <w:jc w:val="both"/>
        <w:rPr>
          <w:rFonts w:ascii="Times New Roman" w:hAnsi="Times New Roman" w:cs="Times New Roman"/>
          <w:sz w:val="28"/>
          <w:szCs w:val="28"/>
        </w:rPr>
      </w:pPr>
      <w:r w:rsidRPr="00394968">
        <w:rPr>
          <w:rFonts w:ascii="Times New Roman" w:hAnsi="Times New Roman" w:cs="Times New Roman"/>
          <w:sz w:val="28"/>
          <w:szCs w:val="28"/>
        </w:rPr>
        <w:t>Кащеев</w:t>
      </w:r>
      <w:r w:rsidR="00E23FBE">
        <w:rPr>
          <w:rFonts w:ascii="Times New Roman" w:hAnsi="Times New Roman" w:cs="Times New Roman"/>
          <w:sz w:val="28"/>
          <w:szCs w:val="28"/>
        </w:rPr>
        <w:t>,</w:t>
      </w:r>
      <w:r w:rsidRPr="00394968">
        <w:rPr>
          <w:rFonts w:ascii="Times New Roman" w:hAnsi="Times New Roman" w:cs="Times New Roman"/>
          <w:sz w:val="28"/>
          <w:szCs w:val="28"/>
        </w:rPr>
        <w:t xml:space="preserve"> В.В. Контроль таможенной стоимости. – СПб.: Троицкий мост, 2019. – 280 с. </w:t>
      </w:r>
    </w:p>
    <w:p w14:paraId="7F305FC2" w14:textId="3F5D7883" w:rsidR="00E60EF9" w:rsidRDefault="00E60EF9" w:rsidP="00394968">
      <w:pPr>
        <w:pStyle w:val="a5"/>
        <w:numPr>
          <w:ilvl w:val="0"/>
          <w:numId w:val="2"/>
        </w:numPr>
        <w:spacing w:after="0" w:line="360" w:lineRule="auto"/>
        <w:ind w:left="0" w:firstLine="709"/>
        <w:jc w:val="both"/>
        <w:rPr>
          <w:rFonts w:ascii="Times New Roman" w:hAnsi="Times New Roman" w:cs="Times New Roman"/>
          <w:sz w:val="28"/>
          <w:szCs w:val="28"/>
        </w:rPr>
      </w:pPr>
      <w:proofErr w:type="spellStart"/>
      <w:r w:rsidRPr="00E60EF9">
        <w:rPr>
          <w:rFonts w:ascii="Times New Roman" w:hAnsi="Times New Roman" w:cs="Times New Roman"/>
          <w:sz w:val="28"/>
          <w:szCs w:val="28"/>
        </w:rPr>
        <w:lastRenderedPageBreak/>
        <w:t>Мокров</w:t>
      </w:r>
      <w:proofErr w:type="spellEnd"/>
      <w:r w:rsidR="00E23FBE">
        <w:rPr>
          <w:rFonts w:ascii="Times New Roman" w:hAnsi="Times New Roman" w:cs="Times New Roman"/>
          <w:sz w:val="28"/>
          <w:szCs w:val="28"/>
        </w:rPr>
        <w:t>,</w:t>
      </w:r>
      <w:r w:rsidRPr="00E60EF9">
        <w:rPr>
          <w:rFonts w:ascii="Times New Roman" w:hAnsi="Times New Roman" w:cs="Times New Roman"/>
          <w:sz w:val="28"/>
          <w:szCs w:val="28"/>
        </w:rPr>
        <w:t xml:space="preserve"> Г. Г. Таможенная стоимость / Г. Г. </w:t>
      </w:r>
      <w:proofErr w:type="spellStart"/>
      <w:r w:rsidRPr="00E60EF9">
        <w:rPr>
          <w:rFonts w:ascii="Times New Roman" w:hAnsi="Times New Roman" w:cs="Times New Roman"/>
          <w:sz w:val="28"/>
          <w:szCs w:val="28"/>
        </w:rPr>
        <w:t>Мокров</w:t>
      </w:r>
      <w:proofErr w:type="spellEnd"/>
      <w:r w:rsidRPr="00E60EF9">
        <w:rPr>
          <w:rFonts w:ascii="Times New Roman" w:hAnsi="Times New Roman" w:cs="Times New Roman"/>
          <w:sz w:val="28"/>
          <w:szCs w:val="28"/>
        </w:rPr>
        <w:t xml:space="preserve">. – </w:t>
      </w:r>
      <w:r w:rsidR="00875426" w:rsidRPr="00E60EF9">
        <w:rPr>
          <w:rFonts w:ascii="Times New Roman" w:hAnsi="Times New Roman" w:cs="Times New Roman"/>
          <w:sz w:val="28"/>
          <w:szCs w:val="28"/>
        </w:rPr>
        <w:t>Москва:</w:t>
      </w:r>
      <w:r w:rsidRPr="00E60EF9">
        <w:rPr>
          <w:rFonts w:ascii="Times New Roman" w:hAnsi="Times New Roman" w:cs="Times New Roman"/>
          <w:sz w:val="28"/>
          <w:szCs w:val="28"/>
        </w:rPr>
        <w:t xml:space="preserve"> Общество с ограниченной ответственностью "Издательство "</w:t>
      </w:r>
      <w:proofErr w:type="spellStart"/>
      <w:r w:rsidRPr="00E60EF9">
        <w:rPr>
          <w:rFonts w:ascii="Times New Roman" w:hAnsi="Times New Roman" w:cs="Times New Roman"/>
          <w:sz w:val="28"/>
          <w:szCs w:val="28"/>
        </w:rPr>
        <w:t>КноРус</w:t>
      </w:r>
      <w:proofErr w:type="spellEnd"/>
      <w:r w:rsidRPr="00E60EF9">
        <w:rPr>
          <w:rFonts w:ascii="Times New Roman" w:hAnsi="Times New Roman" w:cs="Times New Roman"/>
          <w:sz w:val="28"/>
          <w:szCs w:val="28"/>
        </w:rPr>
        <w:t>", 2023. – 438 с. – ISBN 978-5-406-10331-9.</w:t>
      </w:r>
    </w:p>
    <w:p w14:paraId="093DED5D" w14:textId="7FE501F8" w:rsidR="00103503" w:rsidRDefault="00103503" w:rsidP="00394968">
      <w:pPr>
        <w:pStyle w:val="a5"/>
        <w:numPr>
          <w:ilvl w:val="0"/>
          <w:numId w:val="2"/>
        </w:numPr>
        <w:spacing w:after="0" w:line="360" w:lineRule="auto"/>
        <w:ind w:left="0" w:firstLine="709"/>
        <w:jc w:val="both"/>
        <w:rPr>
          <w:rFonts w:ascii="Times New Roman" w:hAnsi="Times New Roman" w:cs="Times New Roman"/>
          <w:sz w:val="28"/>
          <w:szCs w:val="28"/>
        </w:rPr>
      </w:pPr>
      <w:proofErr w:type="spellStart"/>
      <w:r w:rsidRPr="00103503">
        <w:rPr>
          <w:rFonts w:ascii="Times New Roman" w:hAnsi="Times New Roman" w:cs="Times New Roman"/>
          <w:sz w:val="28"/>
          <w:szCs w:val="28"/>
        </w:rPr>
        <w:t>Мокров</w:t>
      </w:r>
      <w:proofErr w:type="spellEnd"/>
      <w:r w:rsidR="00E23FBE">
        <w:rPr>
          <w:rFonts w:ascii="Times New Roman" w:hAnsi="Times New Roman" w:cs="Times New Roman"/>
          <w:sz w:val="28"/>
          <w:szCs w:val="28"/>
        </w:rPr>
        <w:t>,</w:t>
      </w:r>
      <w:r w:rsidRPr="00103503">
        <w:rPr>
          <w:rFonts w:ascii="Times New Roman" w:hAnsi="Times New Roman" w:cs="Times New Roman"/>
          <w:sz w:val="28"/>
          <w:szCs w:val="28"/>
        </w:rPr>
        <w:t xml:space="preserve"> Г. Г. Евразийский экономический союз: оценка таможенной стоимости / Г. Г. </w:t>
      </w:r>
      <w:proofErr w:type="spellStart"/>
      <w:r w:rsidRPr="00103503">
        <w:rPr>
          <w:rFonts w:ascii="Times New Roman" w:hAnsi="Times New Roman" w:cs="Times New Roman"/>
          <w:sz w:val="28"/>
          <w:szCs w:val="28"/>
        </w:rPr>
        <w:t>Мокров</w:t>
      </w:r>
      <w:proofErr w:type="spellEnd"/>
      <w:r w:rsidRPr="00103503">
        <w:rPr>
          <w:rFonts w:ascii="Times New Roman" w:hAnsi="Times New Roman" w:cs="Times New Roman"/>
          <w:sz w:val="28"/>
          <w:szCs w:val="28"/>
        </w:rPr>
        <w:t xml:space="preserve">. – Москва: Общество с ограниченной ответственностью "Проспект", 2022. – 544 с. – ISBN 978-5-392-36059-8. </w:t>
      </w:r>
    </w:p>
    <w:p w14:paraId="44AB1255" w14:textId="0F8972C5" w:rsidR="00940224" w:rsidRDefault="00940224" w:rsidP="00394968">
      <w:pPr>
        <w:pStyle w:val="a5"/>
        <w:numPr>
          <w:ilvl w:val="0"/>
          <w:numId w:val="2"/>
        </w:numPr>
        <w:spacing w:after="0" w:line="360" w:lineRule="auto"/>
        <w:ind w:left="0" w:firstLine="709"/>
        <w:jc w:val="both"/>
        <w:rPr>
          <w:rFonts w:ascii="Times New Roman" w:hAnsi="Times New Roman" w:cs="Times New Roman"/>
          <w:sz w:val="28"/>
          <w:szCs w:val="28"/>
        </w:rPr>
      </w:pPr>
      <w:r w:rsidRPr="00940224">
        <w:rPr>
          <w:rFonts w:ascii="Times New Roman" w:hAnsi="Times New Roman" w:cs="Times New Roman"/>
          <w:sz w:val="28"/>
          <w:szCs w:val="28"/>
        </w:rPr>
        <w:t>Новикова</w:t>
      </w:r>
      <w:r w:rsidR="00E23FBE">
        <w:rPr>
          <w:rFonts w:ascii="Times New Roman" w:hAnsi="Times New Roman" w:cs="Times New Roman"/>
          <w:sz w:val="28"/>
          <w:szCs w:val="28"/>
        </w:rPr>
        <w:t>,</w:t>
      </w:r>
      <w:r w:rsidRPr="00940224">
        <w:rPr>
          <w:rFonts w:ascii="Times New Roman" w:hAnsi="Times New Roman" w:cs="Times New Roman"/>
          <w:sz w:val="28"/>
          <w:szCs w:val="28"/>
        </w:rPr>
        <w:t xml:space="preserve"> С. А.  Таможенное дело и таможенное регулирование в ЕАЭС: учебник для вузов / С. А. Новикова. — 3-е изд., </w:t>
      </w:r>
      <w:proofErr w:type="spellStart"/>
      <w:r w:rsidRPr="00940224">
        <w:rPr>
          <w:rFonts w:ascii="Times New Roman" w:hAnsi="Times New Roman" w:cs="Times New Roman"/>
          <w:sz w:val="28"/>
          <w:szCs w:val="28"/>
        </w:rPr>
        <w:t>перераб</w:t>
      </w:r>
      <w:proofErr w:type="spellEnd"/>
      <w:proofErr w:type="gramStart"/>
      <w:r w:rsidRPr="00940224">
        <w:rPr>
          <w:rFonts w:ascii="Times New Roman" w:hAnsi="Times New Roman" w:cs="Times New Roman"/>
          <w:sz w:val="28"/>
          <w:szCs w:val="28"/>
        </w:rPr>
        <w:t>.</w:t>
      </w:r>
      <w:proofErr w:type="gramEnd"/>
      <w:r w:rsidRPr="00940224">
        <w:rPr>
          <w:rFonts w:ascii="Times New Roman" w:hAnsi="Times New Roman" w:cs="Times New Roman"/>
          <w:sz w:val="28"/>
          <w:szCs w:val="28"/>
        </w:rPr>
        <w:t xml:space="preserve"> и доп. — Москва: Издательство </w:t>
      </w:r>
      <w:proofErr w:type="spellStart"/>
      <w:r w:rsidRPr="00940224">
        <w:rPr>
          <w:rFonts w:ascii="Times New Roman" w:hAnsi="Times New Roman" w:cs="Times New Roman"/>
          <w:sz w:val="28"/>
          <w:szCs w:val="28"/>
        </w:rPr>
        <w:t>Юрайт</w:t>
      </w:r>
      <w:proofErr w:type="spellEnd"/>
      <w:r w:rsidRPr="00940224">
        <w:rPr>
          <w:rFonts w:ascii="Times New Roman" w:hAnsi="Times New Roman" w:cs="Times New Roman"/>
          <w:sz w:val="28"/>
          <w:szCs w:val="28"/>
        </w:rPr>
        <w:t>, 2023. — 380 с. — (Высшее образование). — ISBN 978-5-534-18045-9.</w:t>
      </w:r>
    </w:p>
    <w:p w14:paraId="4ACD4005" w14:textId="2704A3CB" w:rsidR="00E64514" w:rsidRPr="00394968" w:rsidRDefault="00E64514" w:rsidP="00394968">
      <w:pPr>
        <w:pStyle w:val="a5"/>
        <w:numPr>
          <w:ilvl w:val="0"/>
          <w:numId w:val="2"/>
        </w:numPr>
        <w:spacing w:after="0" w:line="360" w:lineRule="auto"/>
        <w:ind w:left="0" w:firstLine="709"/>
        <w:jc w:val="both"/>
        <w:rPr>
          <w:rFonts w:ascii="Times New Roman" w:hAnsi="Times New Roman" w:cs="Times New Roman"/>
          <w:sz w:val="28"/>
          <w:szCs w:val="28"/>
        </w:rPr>
      </w:pPr>
      <w:r w:rsidRPr="00E64514">
        <w:rPr>
          <w:rFonts w:ascii="Times New Roman" w:hAnsi="Times New Roman" w:cs="Times New Roman"/>
          <w:sz w:val="28"/>
          <w:szCs w:val="28"/>
        </w:rPr>
        <w:t>Сенотрусова</w:t>
      </w:r>
      <w:r w:rsidR="00E23FBE">
        <w:rPr>
          <w:rFonts w:ascii="Times New Roman" w:hAnsi="Times New Roman" w:cs="Times New Roman"/>
          <w:sz w:val="28"/>
          <w:szCs w:val="28"/>
        </w:rPr>
        <w:t>,</w:t>
      </w:r>
      <w:r w:rsidRPr="00E64514">
        <w:rPr>
          <w:rFonts w:ascii="Times New Roman" w:hAnsi="Times New Roman" w:cs="Times New Roman"/>
          <w:sz w:val="28"/>
          <w:szCs w:val="28"/>
        </w:rPr>
        <w:t xml:space="preserve"> С. В.  Таможенное </w:t>
      </w:r>
      <w:r w:rsidR="0047286B" w:rsidRPr="00E64514">
        <w:rPr>
          <w:rFonts w:ascii="Times New Roman" w:hAnsi="Times New Roman" w:cs="Times New Roman"/>
          <w:sz w:val="28"/>
          <w:szCs w:val="28"/>
        </w:rPr>
        <w:t>дело:</w:t>
      </w:r>
      <w:r w:rsidRPr="00E64514">
        <w:rPr>
          <w:rFonts w:ascii="Times New Roman" w:hAnsi="Times New Roman" w:cs="Times New Roman"/>
          <w:sz w:val="28"/>
          <w:szCs w:val="28"/>
        </w:rPr>
        <w:t xml:space="preserve"> учебник для вузов / С. В. Сенотрусова, В. Г. </w:t>
      </w:r>
      <w:proofErr w:type="spellStart"/>
      <w:r w:rsidRPr="00E64514">
        <w:rPr>
          <w:rFonts w:ascii="Times New Roman" w:hAnsi="Times New Roman" w:cs="Times New Roman"/>
          <w:sz w:val="28"/>
          <w:szCs w:val="28"/>
        </w:rPr>
        <w:t>Свинухов</w:t>
      </w:r>
      <w:proofErr w:type="spellEnd"/>
      <w:r w:rsidRPr="00E64514">
        <w:rPr>
          <w:rFonts w:ascii="Times New Roman" w:hAnsi="Times New Roman" w:cs="Times New Roman"/>
          <w:sz w:val="28"/>
          <w:szCs w:val="28"/>
        </w:rPr>
        <w:t xml:space="preserve">. — </w:t>
      </w:r>
      <w:r w:rsidR="0047286B" w:rsidRPr="00E64514">
        <w:rPr>
          <w:rFonts w:ascii="Times New Roman" w:hAnsi="Times New Roman" w:cs="Times New Roman"/>
          <w:sz w:val="28"/>
          <w:szCs w:val="28"/>
        </w:rPr>
        <w:t>Москва:</w:t>
      </w:r>
      <w:r w:rsidRPr="00E64514">
        <w:rPr>
          <w:rFonts w:ascii="Times New Roman" w:hAnsi="Times New Roman" w:cs="Times New Roman"/>
          <w:sz w:val="28"/>
          <w:szCs w:val="28"/>
        </w:rPr>
        <w:t xml:space="preserve"> Издательство </w:t>
      </w:r>
      <w:proofErr w:type="spellStart"/>
      <w:r w:rsidRPr="00E64514">
        <w:rPr>
          <w:rFonts w:ascii="Times New Roman" w:hAnsi="Times New Roman" w:cs="Times New Roman"/>
          <w:sz w:val="28"/>
          <w:szCs w:val="28"/>
        </w:rPr>
        <w:t>Юрайт</w:t>
      </w:r>
      <w:proofErr w:type="spellEnd"/>
      <w:r w:rsidRPr="00E64514">
        <w:rPr>
          <w:rFonts w:ascii="Times New Roman" w:hAnsi="Times New Roman" w:cs="Times New Roman"/>
          <w:sz w:val="28"/>
          <w:szCs w:val="28"/>
        </w:rPr>
        <w:t>, 2023. — 258 с. — (Высшее образование). — ISBN 978-5-534-15340-8.</w:t>
      </w:r>
    </w:p>
    <w:p w14:paraId="41D7CD16" w14:textId="780C6D5F" w:rsidR="00E64514" w:rsidRDefault="003A5DF4" w:rsidP="00394968">
      <w:pPr>
        <w:pStyle w:val="a5"/>
        <w:numPr>
          <w:ilvl w:val="0"/>
          <w:numId w:val="2"/>
        </w:numPr>
        <w:spacing w:after="0" w:line="360" w:lineRule="auto"/>
        <w:ind w:left="0" w:firstLine="709"/>
        <w:jc w:val="both"/>
        <w:rPr>
          <w:rFonts w:ascii="Times New Roman" w:hAnsi="Times New Roman" w:cs="Times New Roman"/>
          <w:sz w:val="28"/>
          <w:szCs w:val="28"/>
        </w:rPr>
      </w:pPr>
      <w:r w:rsidRPr="00E64514">
        <w:rPr>
          <w:rFonts w:ascii="Times New Roman" w:hAnsi="Times New Roman" w:cs="Times New Roman"/>
          <w:sz w:val="28"/>
          <w:szCs w:val="28"/>
        </w:rPr>
        <w:t xml:space="preserve"> </w:t>
      </w:r>
      <w:proofErr w:type="spellStart"/>
      <w:r w:rsidR="00E64514" w:rsidRPr="00E64514">
        <w:rPr>
          <w:rFonts w:ascii="Times New Roman" w:hAnsi="Times New Roman" w:cs="Times New Roman"/>
          <w:sz w:val="28"/>
          <w:szCs w:val="28"/>
        </w:rPr>
        <w:t>Соклаков</w:t>
      </w:r>
      <w:proofErr w:type="spellEnd"/>
      <w:r w:rsidR="00E23FBE">
        <w:rPr>
          <w:rFonts w:ascii="Times New Roman" w:hAnsi="Times New Roman" w:cs="Times New Roman"/>
          <w:sz w:val="28"/>
          <w:szCs w:val="28"/>
        </w:rPr>
        <w:t>,</w:t>
      </w:r>
      <w:r w:rsidR="00E64514" w:rsidRPr="00E64514">
        <w:rPr>
          <w:rFonts w:ascii="Times New Roman" w:hAnsi="Times New Roman" w:cs="Times New Roman"/>
          <w:sz w:val="28"/>
          <w:szCs w:val="28"/>
        </w:rPr>
        <w:t xml:space="preserve"> А.А. Таможенно-тарифное регулирование внешнеторговой деятельности: учебное пособие/ А.А. </w:t>
      </w:r>
      <w:proofErr w:type="spellStart"/>
      <w:r w:rsidR="00E64514" w:rsidRPr="00E64514">
        <w:rPr>
          <w:rFonts w:ascii="Times New Roman" w:hAnsi="Times New Roman" w:cs="Times New Roman"/>
          <w:sz w:val="28"/>
          <w:szCs w:val="28"/>
        </w:rPr>
        <w:t>Соклаков</w:t>
      </w:r>
      <w:proofErr w:type="spellEnd"/>
      <w:r w:rsidR="00E64514" w:rsidRPr="00E64514">
        <w:rPr>
          <w:rFonts w:ascii="Times New Roman" w:hAnsi="Times New Roman" w:cs="Times New Roman"/>
          <w:sz w:val="28"/>
          <w:szCs w:val="28"/>
        </w:rPr>
        <w:t xml:space="preserve">, — Курская академия государственной и муниципальной службы. — Курск: Изд-во ЗАО «Университетская книга», 2022. — 194 с. </w:t>
      </w:r>
    </w:p>
    <w:p w14:paraId="3E4CE62F" w14:textId="0FCCD26C" w:rsidR="00103503" w:rsidRDefault="00103503" w:rsidP="00394968">
      <w:pPr>
        <w:pStyle w:val="a5"/>
        <w:numPr>
          <w:ilvl w:val="0"/>
          <w:numId w:val="2"/>
        </w:numPr>
        <w:spacing w:after="0" w:line="360" w:lineRule="auto"/>
        <w:ind w:left="0" w:firstLine="709"/>
        <w:jc w:val="both"/>
        <w:rPr>
          <w:rFonts w:ascii="Times New Roman" w:hAnsi="Times New Roman" w:cs="Times New Roman"/>
          <w:sz w:val="28"/>
          <w:szCs w:val="28"/>
        </w:rPr>
      </w:pPr>
      <w:r w:rsidRPr="00103503">
        <w:rPr>
          <w:rFonts w:ascii="Times New Roman" w:hAnsi="Times New Roman" w:cs="Times New Roman"/>
          <w:sz w:val="28"/>
          <w:szCs w:val="28"/>
        </w:rPr>
        <w:t>Федотова</w:t>
      </w:r>
      <w:r w:rsidR="00E23FBE">
        <w:rPr>
          <w:rFonts w:ascii="Times New Roman" w:hAnsi="Times New Roman" w:cs="Times New Roman"/>
          <w:sz w:val="28"/>
          <w:szCs w:val="28"/>
        </w:rPr>
        <w:t>,</w:t>
      </w:r>
      <w:r w:rsidRPr="00103503">
        <w:rPr>
          <w:rFonts w:ascii="Times New Roman" w:hAnsi="Times New Roman" w:cs="Times New Roman"/>
          <w:sz w:val="28"/>
          <w:szCs w:val="28"/>
        </w:rPr>
        <w:t xml:space="preserve"> Г. Ю. Таможенная стоимость: учебник / Г. Ю. Федотова. – Санкт-Петербург: Общество с ограниченной ответственностью "Издательский центр "Интермедия", 2020. – 336 с. – ISBN 978-5-4383-0216-2.</w:t>
      </w:r>
    </w:p>
    <w:p w14:paraId="7AE56532" w14:textId="3FB124EB" w:rsidR="0043534F" w:rsidRPr="00E23FBE" w:rsidRDefault="0043534F" w:rsidP="00394968">
      <w:pPr>
        <w:pStyle w:val="a5"/>
        <w:numPr>
          <w:ilvl w:val="0"/>
          <w:numId w:val="2"/>
        </w:numPr>
        <w:spacing w:after="0" w:line="360" w:lineRule="auto"/>
        <w:ind w:left="0" w:firstLine="709"/>
        <w:jc w:val="both"/>
        <w:rPr>
          <w:rFonts w:ascii="Times New Roman" w:hAnsi="Times New Roman" w:cs="Times New Roman"/>
          <w:spacing w:val="-4"/>
          <w:sz w:val="28"/>
          <w:szCs w:val="28"/>
        </w:rPr>
      </w:pPr>
      <w:proofErr w:type="spellStart"/>
      <w:r w:rsidRPr="00E23FBE">
        <w:rPr>
          <w:rFonts w:ascii="Times New Roman" w:hAnsi="Times New Roman" w:cs="Times New Roman"/>
          <w:spacing w:val="-4"/>
          <w:sz w:val="28"/>
          <w:szCs w:val="28"/>
        </w:rPr>
        <w:t>Худжатов</w:t>
      </w:r>
      <w:proofErr w:type="spellEnd"/>
      <w:r w:rsidR="00E23FBE" w:rsidRPr="00E23FBE">
        <w:rPr>
          <w:rFonts w:ascii="Times New Roman" w:hAnsi="Times New Roman" w:cs="Times New Roman"/>
          <w:spacing w:val="-4"/>
          <w:sz w:val="28"/>
          <w:szCs w:val="28"/>
        </w:rPr>
        <w:t>,</w:t>
      </w:r>
      <w:r w:rsidRPr="00E23FBE">
        <w:rPr>
          <w:rFonts w:ascii="Times New Roman" w:hAnsi="Times New Roman" w:cs="Times New Roman"/>
          <w:spacing w:val="-4"/>
          <w:sz w:val="28"/>
          <w:szCs w:val="28"/>
        </w:rPr>
        <w:t xml:space="preserve"> М. Б. Таможенная стоимость товаров: учебное пособие / М.Б. </w:t>
      </w:r>
      <w:proofErr w:type="spellStart"/>
      <w:r w:rsidRPr="00E23FBE">
        <w:rPr>
          <w:rFonts w:ascii="Times New Roman" w:hAnsi="Times New Roman" w:cs="Times New Roman"/>
          <w:spacing w:val="-4"/>
          <w:sz w:val="28"/>
          <w:szCs w:val="28"/>
        </w:rPr>
        <w:t>Худжатов</w:t>
      </w:r>
      <w:proofErr w:type="spellEnd"/>
      <w:r w:rsidRPr="00E23FBE">
        <w:rPr>
          <w:rFonts w:ascii="Times New Roman" w:hAnsi="Times New Roman" w:cs="Times New Roman"/>
          <w:spacing w:val="-4"/>
          <w:sz w:val="28"/>
          <w:szCs w:val="28"/>
        </w:rPr>
        <w:t>. – СПб.: ИЦ «Интермедия», 2021 – 120 с. — ISBN 978-5-4383-0226-1</w:t>
      </w:r>
    </w:p>
    <w:p w14:paraId="1B54BD53" w14:textId="5F0352BD" w:rsidR="0047286B" w:rsidRDefault="00394F92" w:rsidP="00394F92">
      <w:pPr>
        <w:spacing w:after="0" w:line="360" w:lineRule="auto"/>
        <w:jc w:val="center"/>
        <w:rPr>
          <w:rFonts w:ascii="Times New Roman" w:hAnsi="Times New Roman" w:cs="Times New Roman"/>
          <w:b/>
          <w:sz w:val="28"/>
          <w:szCs w:val="28"/>
        </w:rPr>
      </w:pPr>
      <w:r w:rsidRPr="00394F92">
        <w:rPr>
          <w:rFonts w:ascii="Times New Roman" w:hAnsi="Times New Roman" w:cs="Times New Roman"/>
          <w:b/>
          <w:sz w:val="28"/>
          <w:szCs w:val="28"/>
        </w:rPr>
        <w:t>Периодические издания</w:t>
      </w:r>
    </w:p>
    <w:p w14:paraId="65F3ED0D" w14:textId="77777777" w:rsidR="00394F92" w:rsidRPr="00394F92" w:rsidRDefault="00394F92" w:rsidP="00394F92">
      <w:pPr>
        <w:pStyle w:val="a5"/>
        <w:numPr>
          <w:ilvl w:val="0"/>
          <w:numId w:val="2"/>
        </w:numPr>
        <w:spacing w:after="0" w:line="360" w:lineRule="auto"/>
        <w:ind w:left="0" w:firstLine="709"/>
        <w:jc w:val="both"/>
        <w:rPr>
          <w:rFonts w:ascii="Times New Roman" w:hAnsi="Times New Roman" w:cs="Times New Roman"/>
          <w:sz w:val="28"/>
          <w:szCs w:val="28"/>
        </w:rPr>
      </w:pPr>
      <w:r w:rsidRPr="00394F92">
        <w:rPr>
          <w:rFonts w:ascii="Times New Roman" w:hAnsi="Times New Roman" w:cs="Times New Roman"/>
          <w:sz w:val="28"/>
          <w:szCs w:val="28"/>
        </w:rPr>
        <w:t xml:space="preserve">Агапова А.В. Проблемные вопросы контроля таможенной стоимости ввозимых товаров на современном этапе // Право и экономика – 2021. – № 5. – С.12–16. </w:t>
      </w:r>
    </w:p>
    <w:p w14:paraId="59DA0987" w14:textId="77777777" w:rsidR="00394F92" w:rsidRPr="00394F92" w:rsidRDefault="00394F92" w:rsidP="00394F92">
      <w:pPr>
        <w:pStyle w:val="a5"/>
        <w:numPr>
          <w:ilvl w:val="0"/>
          <w:numId w:val="2"/>
        </w:numPr>
        <w:spacing w:after="0" w:line="360" w:lineRule="auto"/>
        <w:ind w:left="0" w:firstLine="709"/>
        <w:jc w:val="both"/>
        <w:rPr>
          <w:rFonts w:ascii="Times New Roman" w:hAnsi="Times New Roman" w:cs="Times New Roman"/>
          <w:sz w:val="28"/>
          <w:szCs w:val="28"/>
        </w:rPr>
      </w:pPr>
      <w:r w:rsidRPr="00394F92">
        <w:rPr>
          <w:rFonts w:ascii="Times New Roman" w:hAnsi="Times New Roman" w:cs="Times New Roman"/>
          <w:sz w:val="28"/>
          <w:szCs w:val="28"/>
        </w:rPr>
        <w:t>Азаров Ю. Таможенная стоимость: проблемы определения // Таможня. – 2021. – № 22. – С. 14</w:t>
      </w:r>
    </w:p>
    <w:p w14:paraId="1CAC58E9" w14:textId="77777777" w:rsidR="00394F92" w:rsidRPr="00394F92" w:rsidRDefault="00394F92" w:rsidP="00394F92">
      <w:pPr>
        <w:pStyle w:val="a5"/>
        <w:numPr>
          <w:ilvl w:val="0"/>
          <w:numId w:val="2"/>
        </w:numPr>
        <w:spacing w:after="0" w:line="360" w:lineRule="auto"/>
        <w:ind w:left="0" w:firstLine="709"/>
        <w:jc w:val="both"/>
        <w:rPr>
          <w:rFonts w:ascii="Times New Roman" w:hAnsi="Times New Roman" w:cs="Times New Roman"/>
          <w:sz w:val="28"/>
          <w:szCs w:val="28"/>
        </w:rPr>
      </w:pPr>
      <w:r w:rsidRPr="00394F92">
        <w:rPr>
          <w:rFonts w:ascii="Times New Roman" w:hAnsi="Times New Roman" w:cs="Times New Roman"/>
          <w:sz w:val="28"/>
          <w:szCs w:val="28"/>
        </w:rPr>
        <w:lastRenderedPageBreak/>
        <w:t>Акимова К. В. Проблемы и перспективы применения методов определения таможенной стоимости товаров / К. В. Акимова, А. С. Макарова, С. А. Мельников // Экономика и бизнес: теория и практика. – 2022. – № 4-2(86). – С. 6-10.</w:t>
      </w:r>
    </w:p>
    <w:p w14:paraId="1ADBA675" w14:textId="77777777" w:rsidR="00394F92" w:rsidRPr="00394F92" w:rsidRDefault="00394F92" w:rsidP="00394F92">
      <w:pPr>
        <w:pStyle w:val="a5"/>
        <w:numPr>
          <w:ilvl w:val="0"/>
          <w:numId w:val="2"/>
        </w:numPr>
        <w:spacing w:after="0" w:line="360" w:lineRule="auto"/>
        <w:ind w:left="0" w:firstLine="709"/>
        <w:jc w:val="both"/>
        <w:rPr>
          <w:rFonts w:ascii="Times New Roman" w:hAnsi="Times New Roman" w:cs="Times New Roman"/>
          <w:sz w:val="28"/>
          <w:szCs w:val="28"/>
        </w:rPr>
      </w:pPr>
      <w:proofErr w:type="spellStart"/>
      <w:r w:rsidRPr="00394F92">
        <w:rPr>
          <w:rFonts w:ascii="Times New Roman" w:hAnsi="Times New Roman" w:cs="Times New Roman"/>
          <w:sz w:val="28"/>
          <w:szCs w:val="28"/>
        </w:rPr>
        <w:t>Амирян</w:t>
      </w:r>
      <w:proofErr w:type="spellEnd"/>
      <w:r w:rsidRPr="00394F92">
        <w:rPr>
          <w:rFonts w:ascii="Times New Roman" w:hAnsi="Times New Roman" w:cs="Times New Roman"/>
          <w:sz w:val="28"/>
          <w:szCs w:val="28"/>
        </w:rPr>
        <w:t xml:space="preserve"> А.Г. Механизм уплаты таможенных платежей в ЕАЭС // Современное таможенное регулирование в условиях функционирования единого экономического пространства. – 2021. – № 4. – С. 6–10. </w:t>
      </w:r>
    </w:p>
    <w:p w14:paraId="778D98BD" w14:textId="77777777" w:rsidR="00394F92" w:rsidRPr="00394F92" w:rsidRDefault="00394F92" w:rsidP="00394F92">
      <w:pPr>
        <w:pStyle w:val="a5"/>
        <w:numPr>
          <w:ilvl w:val="0"/>
          <w:numId w:val="2"/>
        </w:numPr>
        <w:spacing w:after="0" w:line="360" w:lineRule="auto"/>
        <w:ind w:left="0" w:firstLine="709"/>
        <w:jc w:val="both"/>
        <w:rPr>
          <w:rFonts w:ascii="Times New Roman" w:hAnsi="Times New Roman" w:cs="Times New Roman"/>
          <w:sz w:val="28"/>
          <w:szCs w:val="28"/>
        </w:rPr>
      </w:pPr>
      <w:r w:rsidRPr="00394F92">
        <w:rPr>
          <w:rFonts w:ascii="Times New Roman" w:hAnsi="Times New Roman" w:cs="Times New Roman"/>
          <w:sz w:val="28"/>
          <w:szCs w:val="28"/>
        </w:rPr>
        <w:t xml:space="preserve">Артемьев А.А. Проблемы в сфере таможенных платежей, не решаемые законопроектом– 2021. – № 2. – С. 6 – 10. </w:t>
      </w:r>
    </w:p>
    <w:p w14:paraId="0E297A62" w14:textId="77777777" w:rsidR="00394F92" w:rsidRPr="00394F92" w:rsidRDefault="00394F92" w:rsidP="00394F92">
      <w:pPr>
        <w:pStyle w:val="a5"/>
        <w:numPr>
          <w:ilvl w:val="0"/>
          <w:numId w:val="2"/>
        </w:numPr>
        <w:spacing w:after="0" w:line="360" w:lineRule="auto"/>
        <w:ind w:left="0" w:firstLine="709"/>
        <w:jc w:val="both"/>
        <w:rPr>
          <w:rFonts w:ascii="Times New Roman" w:hAnsi="Times New Roman" w:cs="Times New Roman"/>
          <w:sz w:val="28"/>
          <w:szCs w:val="28"/>
        </w:rPr>
      </w:pPr>
      <w:r w:rsidRPr="00394F92">
        <w:rPr>
          <w:rFonts w:ascii="Times New Roman" w:hAnsi="Times New Roman" w:cs="Times New Roman"/>
          <w:sz w:val="28"/>
          <w:szCs w:val="28"/>
        </w:rPr>
        <w:t xml:space="preserve">Базарова А.С. Таможенные платежи и таможенная стоимость ввозимых товаров // Все для бухгалтера. – 2022. – № 10. – С. 30–36. </w:t>
      </w:r>
    </w:p>
    <w:p w14:paraId="6848AE7B" w14:textId="77777777" w:rsidR="00394F92" w:rsidRPr="00394F92" w:rsidRDefault="00394F92" w:rsidP="00394F92">
      <w:pPr>
        <w:pStyle w:val="a5"/>
        <w:numPr>
          <w:ilvl w:val="0"/>
          <w:numId w:val="2"/>
        </w:numPr>
        <w:spacing w:after="0" w:line="360" w:lineRule="auto"/>
        <w:ind w:left="0" w:firstLine="709"/>
        <w:jc w:val="both"/>
        <w:rPr>
          <w:rFonts w:ascii="Times New Roman" w:hAnsi="Times New Roman" w:cs="Times New Roman"/>
          <w:sz w:val="28"/>
          <w:szCs w:val="28"/>
        </w:rPr>
      </w:pPr>
      <w:r w:rsidRPr="00394F92">
        <w:rPr>
          <w:rFonts w:ascii="Times New Roman" w:hAnsi="Times New Roman" w:cs="Times New Roman"/>
          <w:sz w:val="28"/>
          <w:szCs w:val="28"/>
        </w:rPr>
        <w:t xml:space="preserve">Бакаева О. Ю. Цифровые возможности порядка уплаты и взыскания таможенных платежей / О. Ю. Бакаева // </w:t>
      </w:r>
      <w:proofErr w:type="spellStart"/>
      <w:r w:rsidRPr="00394F92">
        <w:rPr>
          <w:rFonts w:ascii="Times New Roman" w:hAnsi="Times New Roman" w:cs="Times New Roman"/>
          <w:sz w:val="28"/>
          <w:szCs w:val="28"/>
        </w:rPr>
        <w:t>Legaltech</w:t>
      </w:r>
      <w:proofErr w:type="spellEnd"/>
      <w:r w:rsidRPr="00394F92">
        <w:rPr>
          <w:rFonts w:ascii="Times New Roman" w:hAnsi="Times New Roman" w:cs="Times New Roman"/>
          <w:sz w:val="28"/>
          <w:szCs w:val="28"/>
        </w:rPr>
        <w:t xml:space="preserve">: научные решения для профессиональной юридической деятельности : Сборник докладов IX Московского юридического форума: в 4 ч. XXI Международная научно-практическая конференция, Москва, 14–16 апреля 2022 года. Том Часть 3. – Москва: Издательский центр Университета имени О.Е. Кутафина (МГЮА), 2022. – С. 113-116. </w:t>
      </w:r>
    </w:p>
    <w:p w14:paraId="6EBA5673" w14:textId="77777777" w:rsidR="00394F92" w:rsidRPr="00394F92" w:rsidRDefault="00394F92" w:rsidP="00394F92">
      <w:pPr>
        <w:pStyle w:val="a5"/>
        <w:numPr>
          <w:ilvl w:val="0"/>
          <w:numId w:val="2"/>
        </w:numPr>
        <w:spacing w:after="0" w:line="360" w:lineRule="auto"/>
        <w:ind w:left="0" w:firstLine="709"/>
        <w:jc w:val="both"/>
        <w:rPr>
          <w:rFonts w:ascii="Times New Roman" w:hAnsi="Times New Roman" w:cs="Times New Roman"/>
          <w:sz w:val="28"/>
          <w:szCs w:val="28"/>
        </w:rPr>
      </w:pPr>
      <w:r w:rsidRPr="00394F92">
        <w:rPr>
          <w:rFonts w:ascii="Times New Roman" w:hAnsi="Times New Roman" w:cs="Times New Roman"/>
          <w:sz w:val="28"/>
          <w:szCs w:val="28"/>
        </w:rPr>
        <w:t xml:space="preserve">Болдырева И.А. Влияние динамики таможенных платежей на формирование доходной части федерального бюджета // Проблемы современной экономики. – 2021. – № 1. – С. 199–201. </w:t>
      </w:r>
    </w:p>
    <w:p w14:paraId="7D935D6E" w14:textId="77777777" w:rsidR="00394F92" w:rsidRPr="00394F92" w:rsidRDefault="00394F92" w:rsidP="00394F92">
      <w:pPr>
        <w:pStyle w:val="a5"/>
        <w:numPr>
          <w:ilvl w:val="0"/>
          <w:numId w:val="2"/>
        </w:numPr>
        <w:spacing w:after="0" w:line="360" w:lineRule="auto"/>
        <w:ind w:left="0" w:firstLine="709"/>
        <w:jc w:val="both"/>
        <w:rPr>
          <w:rFonts w:ascii="Times New Roman" w:hAnsi="Times New Roman" w:cs="Times New Roman"/>
          <w:sz w:val="28"/>
          <w:szCs w:val="28"/>
        </w:rPr>
      </w:pPr>
      <w:r w:rsidRPr="00394F92">
        <w:rPr>
          <w:rFonts w:ascii="Times New Roman" w:hAnsi="Times New Roman" w:cs="Times New Roman"/>
          <w:sz w:val="28"/>
          <w:szCs w:val="28"/>
        </w:rPr>
        <w:t xml:space="preserve">Борисов С.М. ЕАЭС: совместное взимание ввозных таможенных пошлин // Деньги и кредит. – 2020. – № 3.– С. 33–36. </w:t>
      </w:r>
    </w:p>
    <w:p w14:paraId="19743548" w14:textId="77777777" w:rsidR="00394F92" w:rsidRPr="00394F92" w:rsidRDefault="00394F92" w:rsidP="00394F92">
      <w:pPr>
        <w:pStyle w:val="a5"/>
        <w:numPr>
          <w:ilvl w:val="0"/>
          <w:numId w:val="2"/>
        </w:numPr>
        <w:spacing w:after="0" w:line="360" w:lineRule="auto"/>
        <w:ind w:left="0" w:firstLine="709"/>
        <w:jc w:val="both"/>
        <w:rPr>
          <w:rFonts w:ascii="Times New Roman" w:hAnsi="Times New Roman" w:cs="Times New Roman"/>
          <w:sz w:val="28"/>
          <w:szCs w:val="28"/>
        </w:rPr>
      </w:pPr>
      <w:r w:rsidRPr="00394F92">
        <w:rPr>
          <w:rFonts w:ascii="Times New Roman" w:hAnsi="Times New Roman" w:cs="Times New Roman"/>
          <w:sz w:val="28"/>
          <w:szCs w:val="28"/>
        </w:rPr>
        <w:t xml:space="preserve"> </w:t>
      </w:r>
      <w:proofErr w:type="spellStart"/>
      <w:r w:rsidRPr="00394F92">
        <w:rPr>
          <w:rFonts w:ascii="Times New Roman" w:hAnsi="Times New Roman" w:cs="Times New Roman"/>
          <w:sz w:val="28"/>
          <w:szCs w:val="28"/>
        </w:rPr>
        <w:t>Бородавко</w:t>
      </w:r>
      <w:proofErr w:type="spellEnd"/>
      <w:r w:rsidRPr="00394F92">
        <w:rPr>
          <w:rFonts w:ascii="Times New Roman" w:hAnsi="Times New Roman" w:cs="Times New Roman"/>
          <w:sz w:val="28"/>
          <w:szCs w:val="28"/>
        </w:rPr>
        <w:t xml:space="preserve"> Е.Н. Контроль таможенной стоимости как фактор сдерживания либерализации внешней торговли стран–членов ЕАЭС // Теория и практика таможенного дела и внешнеэкономической деятельности. – 2021.– № 2.– С. 108– 121. </w:t>
      </w:r>
    </w:p>
    <w:p w14:paraId="4B900D59" w14:textId="77777777" w:rsidR="00394F92" w:rsidRPr="00394F92" w:rsidRDefault="00394F92" w:rsidP="00394F92">
      <w:pPr>
        <w:pStyle w:val="a5"/>
        <w:numPr>
          <w:ilvl w:val="0"/>
          <w:numId w:val="2"/>
        </w:numPr>
        <w:spacing w:after="0" w:line="360" w:lineRule="auto"/>
        <w:ind w:left="0" w:firstLine="709"/>
        <w:jc w:val="both"/>
        <w:rPr>
          <w:rFonts w:ascii="Times New Roman" w:hAnsi="Times New Roman" w:cs="Times New Roman"/>
          <w:sz w:val="28"/>
          <w:szCs w:val="28"/>
        </w:rPr>
      </w:pPr>
      <w:r w:rsidRPr="00394F92">
        <w:rPr>
          <w:rFonts w:ascii="Times New Roman" w:hAnsi="Times New Roman" w:cs="Times New Roman"/>
          <w:sz w:val="28"/>
          <w:szCs w:val="28"/>
        </w:rPr>
        <w:t>Бушуев В. В. Вступление России в ВТО: как контролировать таможенную стоимость // Таможенное регулирование. Таможенный контроль</w:t>
      </w:r>
      <w:proofErr w:type="gramStart"/>
      <w:r w:rsidRPr="00394F92">
        <w:rPr>
          <w:rFonts w:ascii="Times New Roman" w:hAnsi="Times New Roman" w:cs="Times New Roman"/>
          <w:sz w:val="28"/>
          <w:szCs w:val="28"/>
        </w:rPr>
        <w:t>: Научно</w:t>
      </w:r>
      <w:proofErr w:type="gramEnd"/>
      <w:r w:rsidRPr="00394F92">
        <w:rPr>
          <w:rFonts w:ascii="Times New Roman" w:hAnsi="Times New Roman" w:cs="Times New Roman"/>
          <w:sz w:val="28"/>
          <w:szCs w:val="28"/>
        </w:rPr>
        <w:t xml:space="preserve">- практический журнал. – 2021. – № 2. – С. 64 – 67. </w:t>
      </w:r>
    </w:p>
    <w:p w14:paraId="705CED11" w14:textId="77777777" w:rsidR="00394F92" w:rsidRPr="00394F92" w:rsidRDefault="00394F92" w:rsidP="00394F92">
      <w:pPr>
        <w:pStyle w:val="a5"/>
        <w:numPr>
          <w:ilvl w:val="0"/>
          <w:numId w:val="2"/>
        </w:numPr>
        <w:spacing w:after="0" w:line="360" w:lineRule="auto"/>
        <w:ind w:left="0" w:firstLine="709"/>
        <w:jc w:val="both"/>
        <w:rPr>
          <w:rFonts w:ascii="Times New Roman" w:hAnsi="Times New Roman" w:cs="Times New Roman"/>
          <w:sz w:val="28"/>
          <w:szCs w:val="28"/>
        </w:rPr>
      </w:pPr>
      <w:proofErr w:type="spellStart"/>
      <w:r w:rsidRPr="00394F92">
        <w:rPr>
          <w:rFonts w:ascii="Times New Roman" w:hAnsi="Times New Roman" w:cs="Times New Roman"/>
          <w:sz w:val="28"/>
          <w:szCs w:val="28"/>
        </w:rPr>
        <w:lastRenderedPageBreak/>
        <w:t>Вериш</w:t>
      </w:r>
      <w:proofErr w:type="spellEnd"/>
      <w:r w:rsidRPr="00394F92">
        <w:rPr>
          <w:rFonts w:ascii="Times New Roman" w:hAnsi="Times New Roman" w:cs="Times New Roman"/>
          <w:sz w:val="28"/>
          <w:szCs w:val="28"/>
        </w:rPr>
        <w:t xml:space="preserve"> Т. А. Проблемы взимания таможенных платежей // Проблемы и перспективы экономики и управления. – 2020. – № 3.– С. 248– 251. </w:t>
      </w:r>
    </w:p>
    <w:p w14:paraId="37FF87EF" w14:textId="77777777" w:rsidR="00394F92" w:rsidRPr="00394F92" w:rsidRDefault="00394F92" w:rsidP="00394F92">
      <w:pPr>
        <w:pStyle w:val="a5"/>
        <w:numPr>
          <w:ilvl w:val="0"/>
          <w:numId w:val="2"/>
        </w:numPr>
        <w:spacing w:after="0" w:line="360" w:lineRule="auto"/>
        <w:ind w:left="0" w:firstLine="709"/>
        <w:jc w:val="both"/>
        <w:rPr>
          <w:rFonts w:ascii="Times New Roman" w:hAnsi="Times New Roman" w:cs="Times New Roman"/>
          <w:sz w:val="28"/>
          <w:szCs w:val="28"/>
        </w:rPr>
      </w:pPr>
      <w:r w:rsidRPr="00394F92">
        <w:rPr>
          <w:rFonts w:ascii="Times New Roman" w:hAnsi="Times New Roman" w:cs="Times New Roman"/>
          <w:sz w:val="28"/>
          <w:szCs w:val="28"/>
        </w:rPr>
        <w:t xml:space="preserve">Власова, Л. Е. Актуальность контроля таможенной стоимости в условиях риска недостоверности ее указания / Л. Е. Власова, Л. Н. </w:t>
      </w:r>
      <w:proofErr w:type="spellStart"/>
      <w:r w:rsidRPr="00394F92">
        <w:rPr>
          <w:rFonts w:ascii="Times New Roman" w:hAnsi="Times New Roman" w:cs="Times New Roman"/>
          <w:sz w:val="28"/>
          <w:szCs w:val="28"/>
        </w:rPr>
        <w:t>Крапчина</w:t>
      </w:r>
      <w:proofErr w:type="spellEnd"/>
      <w:r w:rsidRPr="00394F92">
        <w:rPr>
          <w:rFonts w:ascii="Times New Roman" w:hAnsi="Times New Roman" w:cs="Times New Roman"/>
          <w:sz w:val="28"/>
          <w:szCs w:val="28"/>
        </w:rPr>
        <w:t>. — Текст: непосредственный // Молодой ученый. — 2022. — № 51 (446). — С. 346-348. — URL: https://moluch.ru/archive/446/97960/ (дата обращения: 04.02.2024).</w:t>
      </w:r>
    </w:p>
    <w:p w14:paraId="644393BE" w14:textId="29698FC2" w:rsidR="00394F92" w:rsidRPr="005B5BF3" w:rsidRDefault="00394F92" w:rsidP="00394F92">
      <w:pPr>
        <w:pStyle w:val="a5"/>
        <w:numPr>
          <w:ilvl w:val="0"/>
          <w:numId w:val="2"/>
        </w:numPr>
        <w:spacing w:after="0" w:line="360" w:lineRule="auto"/>
        <w:ind w:left="0" w:firstLine="709"/>
        <w:jc w:val="both"/>
        <w:rPr>
          <w:rFonts w:ascii="Times New Roman" w:hAnsi="Times New Roman" w:cs="Times New Roman"/>
          <w:spacing w:val="-6"/>
          <w:sz w:val="28"/>
          <w:szCs w:val="28"/>
        </w:rPr>
      </w:pPr>
      <w:proofErr w:type="spellStart"/>
      <w:r w:rsidRPr="005B5BF3">
        <w:rPr>
          <w:rFonts w:ascii="Times New Roman" w:hAnsi="Times New Roman" w:cs="Times New Roman"/>
          <w:spacing w:val="-6"/>
          <w:sz w:val="28"/>
          <w:szCs w:val="28"/>
        </w:rPr>
        <w:t>Досмырза</w:t>
      </w:r>
      <w:proofErr w:type="spellEnd"/>
      <w:r w:rsidRPr="005B5BF3">
        <w:rPr>
          <w:rFonts w:ascii="Times New Roman" w:hAnsi="Times New Roman" w:cs="Times New Roman"/>
          <w:spacing w:val="-6"/>
          <w:sz w:val="28"/>
          <w:szCs w:val="28"/>
        </w:rPr>
        <w:t xml:space="preserve"> Д.Н. Концептуальные перспективы развития таможенного администрирования // Современное таможенное регулирование в условиях функционирования единого экономического пространства. – 2019. – № 2.– С. 37– 44.</w:t>
      </w:r>
    </w:p>
    <w:p w14:paraId="021F6381" w14:textId="77777777" w:rsidR="00394F92" w:rsidRPr="00394F92" w:rsidRDefault="00394F92" w:rsidP="00394F92">
      <w:pPr>
        <w:pStyle w:val="a5"/>
        <w:numPr>
          <w:ilvl w:val="0"/>
          <w:numId w:val="2"/>
        </w:numPr>
        <w:spacing w:after="0" w:line="360" w:lineRule="auto"/>
        <w:ind w:left="0" w:firstLine="709"/>
        <w:jc w:val="both"/>
        <w:rPr>
          <w:rFonts w:ascii="Times New Roman" w:hAnsi="Times New Roman" w:cs="Times New Roman"/>
          <w:sz w:val="28"/>
          <w:szCs w:val="28"/>
        </w:rPr>
      </w:pPr>
      <w:r w:rsidRPr="00394F92">
        <w:rPr>
          <w:rFonts w:ascii="Times New Roman" w:hAnsi="Times New Roman" w:cs="Times New Roman"/>
          <w:sz w:val="28"/>
          <w:szCs w:val="28"/>
        </w:rPr>
        <w:t xml:space="preserve">Игошин Р.Е. Анализ доходной части бюджета России, формирующейся за счет таможенных пошлин // Экономика и менеджмент инновационных технологий. – 2021. – № 3.– С. 13–19. </w:t>
      </w:r>
    </w:p>
    <w:p w14:paraId="5D04776E" w14:textId="77777777" w:rsidR="00394F92" w:rsidRPr="00394F92" w:rsidRDefault="00394F92" w:rsidP="00394F92">
      <w:pPr>
        <w:pStyle w:val="a5"/>
        <w:numPr>
          <w:ilvl w:val="0"/>
          <w:numId w:val="2"/>
        </w:numPr>
        <w:spacing w:after="0" w:line="360" w:lineRule="auto"/>
        <w:ind w:left="0" w:firstLine="709"/>
        <w:jc w:val="both"/>
        <w:rPr>
          <w:rFonts w:ascii="Times New Roman" w:hAnsi="Times New Roman" w:cs="Times New Roman"/>
          <w:sz w:val="28"/>
          <w:szCs w:val="28"/>
        </w:rPr>
      </w:pPr>
      <w:proofErr w:type="spellStart"/>
      <w:r w:rsidRPr="00394F92">
        <w:rPr>
          <w:rFonts w:ascii="Times New Roman" w:hAnsi="Times New Roman" w:cs="Times New Roman"/>
          <w:sz w:val="28"/>
          <w:szCs w:val="28"/>
        </w:rPr>
        <w:t>Колумбекова</w:t>
      </w:r>
      <w:proofErr w:type="spellEnd"/>
      <w:r w:rsidRPr="00394F92">
        <w:rPr>
          <w:rFonts w:ascii="Times New Roman" w:hAnsi="Times New Roman" w:cs="Times New Roman"/>
          <w:sz w:val="28"/>
          <w:szCs w:val="28"/>
        </w:rPr>
        <w:t xml:space="preserve"> Т.Е. Совершенствование системы уплаты таможенных платежей в современных условиях // </w:t>
      </w:r>
      <w:proofErr w:type="spellStart"/>
      <w:r w:rsidRPr="00394F92">
        <w:rPr>
          <w:rFonts w:ascii="Times New Roman" w:hAnsi="Times New Roman" w:cs="Times New Roman"/>
          <w:sz w:val="28"/>
          <w:szCs w:val="28"/>
        </w:rPr>
        <w:t>TerraEconomics</w:t>
      </w:r>
      <w:proofErr w:type="spellEnd"/>
      <w:r w:rsidRPr="00394F92">
        <w:rPr>
          <w:rFonts w:ascii="Times New Roman" w:hAnsi="Times New Roman" w:cs="Times New Roman"/>
          <w:sz w:val="28"/>
          <w:szCs w:val="28"/>
        </w:rPr>
        <w:t xml:space="preserve">. – 2021. – № 1.– С. 89–93. </w:t>
      </w:r>
    </w:p>
    <w:p w14:paraId="5963792D" w14:textId="77777777" w:rsidR="00394F92" w:rsidRPr="00394F92" w:rsidRDefault="00394F92" w:rsidP="00394F92">
      <w:pPr>
        <w:pStyle w:val="a5"/>
        <w:numPr>
          <w:ilvl w:val="0"/>
          <w:numId w:val="2"/>
        </w:numPr>
        <w:spacing w:after="0" w:line="360" w:lineRule="auto"/>
        <w:ind w:left="0" w:firstLine="709"/>
        <w:jc w:val="both"/>
        <w:rPr>
          <w:rFonts w:ascii="Times New Roman" w:hAnsi="Times New Roman" w:cs="Times New Roman"/>
          <w:sz w:val="28"/>
          <w:szCs w:val="28"/>
        </w:rPr>
      </w:pPr>
      <w:r w:rsidRPr="00394F92">
        <w:rPr>
          <w:rFonts w:ascii="Times New Roman" w:hAnsi="Times New Roman" w:cs="Times New Roman"/>
          <w:sz w:val="28"/>
          <w:szCs w:val="28"/>
        </w:rPr>
        <w:t>Немирова Г.И., Иванова А.М. Анализ контроля таможенной стоимости товаров в системе администрирования таможенных доходов // Экономические отношения. – 2022. – Том 12. – № 3. – С. 451-472.</w:t>
      </w:r>
    </w:p>
    <w:p w14:paraId="365CB379" w14:textId="62544CD3" w:rsidR="00394F92" w:rsidRPr="00E23FBE" w:rsidRDefault="00394F92" w:rsidP="00394F92">
      <w:pPr>
        <w:pStyle w:val="a5"/>
        <w:numPr>
          <w:ilvl w:val="0"/>
          <w:numId w:val="2"/>
        </w:numPr>
        <w:spacing w:after="0" w:line="360" w:lineRule="auto"/>
        <w:ind w:left="0" w:firstLine="709"/>
        <w:jc w:val="both"/>
        <w:rPr>
          <w:rFonts w:ascii="Times New Roman" w:hAnsi="Times New Roman" w:cs="Times New Roman"/>
          <w:spacing w:val="-4"/>
          <w:sz w:val="28"/>
          <w:szCs w:val="28"/>
        </w:rPr>
      </w:pPr>
      <w:r w:rsidRPr="00E23FBE">
        <w:rPr>
          <w:rFonts w:ascii="Times New Roman" w:hAnsi="Times New Roman" w:cs="Times New Roman"/>
          <w:spacing w:val="-4"/>
          <w:sz w:val="28"/>
          <w:szCs w:val="28"/>
        </w:rPr>
        <w:t xml:space="preserve">Трунов А.В. Таможенная декларация: как учесть таможенные платежи / А.В. Трунов // Российский налоговый курьер. – 2020. – № 23. – С. 22–25. </w:t>
      </w:r>
    </w:p>
    <w:p w14:paraId="7B35880B" w14:textId="77777777" w:rsidR="00394F92" w:rsidRPr="00394F92" w:rsidRDefault="00394F92" w:rsidP="00394F92">
      <w:pPr>
        <w:pStyle w:val="a5"/>
        <w:spacing w:after="0" w:line="360" w:lineRule="auto"/>
        <w:ind w:left="0"/>
        <w:jc w:val="center"/>
        <w:rPr>
          <w:rFonts w:ascii="Times New Roman" w:hAnsi="Times New Roman" w:cs="Times New Roman"/>
          <w:sz w:val="28"/>
          <w:szCs w:val="28"/>
        </w:rPr>
      </w:pPr>
      <w:r w:rsidRPr="00394F92">
        <w:rPr>
          <w:rFonts w:ascii="Times New Roman" w:hAnsi="Times New Roman" w:cs="Times New Roman"/>
          <w:b/>
          <w:sz w:val="28"/>
          <w:szCs w:val="28"/>
        </w:rPr>
        <w:t>Электронные ресурсы</w:t>
      </w:r>
    </w:p>
    <w:p w14:paraId="17D49167" w14:textId="77777777" w:rsidR="008461DD" w:rsidRPr="008461DD" w:rsidRDefault="008461DD" w:rsidP="008461DD">
      <w:pPr>
        <w:pStyle w:val="a5"/>
        <w:numPr>
          <w:ilvl w:val="0"/>
          <w:numId w:val="2"/>
        </w:numPr>
        <w:spacing w:after="0" w:line="360" w:lineRule="auto"/>
        <w:ind w:left="0" w:firstLine="709"/>
        <w:jc w:val="both"/>
        <w:rPr>
          <w:rFonts w:ascii="Times New Roman" w:hAnsi="Times New Roman" w:cs="Times New Roman"/>
          <w:sz w:val="28"/>
          <w:szCs w:val="28"/>
        </w:rPr>
      </w:pPr>
      <w:r w:rsidRPr="008461DD">
        <w:rPr>
          <w:rFonts w:ascii="Times New Roman" w:hAnsi="Times New Roman" w:cs="Times New Roman"/>
          <w:sz w:val="28"/>
          <w:szCs w:val="28"/>
        </w:rPr>
        <w:t xml:space="preserve">Официальный сайт Евразийской Экономической Комиссии </w:t>
      </w:r>
      <w:bookmarkStart w:id="36" w:name="_Hlk152926816"/>
      <w:r w:rsidRPr="008461DD">
        <w:rPr>
          <w:rFonts w:ascii="Times New Roman" w:hAnsi="Times New Roman" w:cs="Times New Roman"/>
          <w:sz w:val="28"/>
          <w:szCs w:val="28"/>
        </w:rPr>
        <w:t>[Электронный ресурс]. – URL:</w:t>
      </w:r>
      <w:bookmarkEnd w:id="36"/>
      <w:r w:rsidRPr="008461DD">
        <w:rPr>
          <w:rFonts w:ascii="Times New Roman" w:hAnsi="Times New Roman" w:cs="Times New Roman"/>
          <w:sz w:val="28"/>
          <w:szCs w:val="28"/>
        </w:rPr>
        <w:t xml:space="preserve"> https://eec.eaeunion.org.</w:t>
      </w:r>
    </w:p>
    <w:p w14:paraId="50DAD0A4" w14:textId="77777777" w:rsidR="008461DD" w:rsidRPr="008461DD" w:rsidRDefault="008461DD" w:rsidP="008461DD">
      <w:pPr>
        <w:pStyle w:val="a5"/>
        <w:numPr>
          <w:ilvl w:val="0"/>
          <w:numId w:val="2"/>
        </w:numPr>
        <w:spacing w:after="0" w:line="360" w:lineRule="auto"/>
        <w:ind w:left="0" w:firstLine="709"/>
        <w:jc w:val="both"/>
        <w:rPr>
          <w:rFonts w:ascii="Times New Roman" w:hAnsi="Times New Roman" w:cs="Times New Roman"/>
          <w:sz w:val="28"/>
          <w:szCs w:val="28"/>
        </w:rPr>
      </w:pPr>
      <w:r w:rsidRPr="008461DD">
        <w:rPr>
          <w:rFonts w:ascii="Times New Roman" w:hAnsi="Times New Roman" w:cs="Times New Roman"/>
          <w:sz w:val="28"/>
          <w:szCs w:val="28"/>
        </w:rPr>
        <w:t>Официальный сайт Федеральной таможенной службы [Электронный ресурс]. – URL: http://www.customs.ru.</w:t>
      </w:r>
    </w:p>
    <w:p w14:paraId="3235A64C" w14:textId="33F55159" w:rsidR="00E23FBE" w:rsidRPr="00E23FBE" w:rsidRDefault="00E23FBE" w:rsidP="008461DD">
      <w:pPr>
        <w:pStyle w:val="a5"/>
        <w:numPr>
          <w:ilvl w:val="0"/>
          <w:numId w:val="2"/>
        </w:numPr>
        <w:spacing w:after="0" w:line="360" w:lineRule="auto"/>
        <w:ind w:left="0" w:firstLine="709"/>
        <w:jc w:val="both"/>
        <w:rPr>
          <w:rStyle w:val="ae"/>
          <w:rFonts w:ascii="Times New Roman" w:hAnsi="Times New Roman" w:cs="Times New Roman"/>
          <w:color w:val="auto"/>
          <w:sz w:val="28"/>
          <w:szCs w:val="28"/>
          <w:u w:val="none"/>
        </w:rPr>
      </w:pPr>
      <w:r w:rsidRPr="00E23FBE">
        <w:rPr>
          <w:rFonts w:ascii="Times New Roman" w:hAnsi="Times New Roman" w:cs="Times New Roman"/>
          <w:sz w:val="28"/>
          <w:szCs w:val="28"/>
        </w:rPr>
        <w:t>Официальный сайт Ф</w:t>
      </w:r>
      <w:r>
        <w:rPr>
          <w:rFonts w:ascii="Times New Roman" w:hAnsi="Times New Roman" w:cs="Times New Roman"/>
          <w:sz w:val="28"/>
          <w:szCs w:val="28"/>
        </w:rPr>
        <w:t>едеральной налоговой службы</w:t>
      </w:r>
      <w:r w:rsidRPr="00E23FBE">
        <w:rPr>
          <w:rFonts w:ascii="Times New Roman" w:hAnsi="Times New Roman" w:cs="Times New Roman"/>
          <w:sz w:val="28"/>
          <w:szCs w:val="28"/>
        </w:rPr>
        <w:t xml:space="preserve"> России. [Электронный ресурс]. – URL:</w:t>
      </w:r>
      <w:hyperlink r:id="rId52" w:history="1">
        <w:r w:rsidRPr="00E23FBE">
          <w:rPr>
            <w:rStyle w:val="ae"/>
            <w:rFonts w:ascii="Times New Roman" w:hAnsi="Times New Roman" w:cs="Times New Roman"/>
            <w:sz w:val="28"/>
            <w:szCs w:val="28"/>
          </w:rPr>
          <w:t>http://www.nalog.ru</w:t>
        </w:r>
      </w:hyperlink>
    </w:p>
    <w:p w14:paraId="1398552E" w14:textId="2D6C6399" w:rsidR="008461DD" w:rsidRPr="008461DD" w:rsidRDefault="008461DD" w:rsidP="008461DD">
      <w:pPr>
        <w:pStyle w:val="a5"/>
        <w:numPr>
          <w:ilvl w:val="0"/>
          <w:numId w:val="2"/>
        </w:numPr>
        <w:spacing w:after="0" w:line="360" w:lineRule="auto"/>
        <w:ind w:left="0" w:firstLine="709"/>
        <w:jc w:val="both"/>
        <w:rPr>
          <w:rFonts w:ascii="Times New Roman" w:hAnsi="Times New Roman" w:cs="Times New Roman"/>
          <w:sz w:val="28"/>
          <w:szCs w:val="28"/>
        </w:rPr>
      </w:pPr>
      <w:r w:rsidRPr="008461DD">
        <w:rPr>
          <w:rFonts w:ascii="Times New Roman" w:hAnsi="Times New Roman" w:cs="Times New Roman"/>
          <w:sz w:val="28"/>
          <w:szCs w:val="28"/>
        </w:rPr>
        <w:t>Справочная правовая система Альта-Софт. Таможенный портал участников ВЭД [Электронный ресурс]. – URL: https://www.alta.ru.</w:t>
      </w:r>
    </w:p>
    <w:p w14:paraId="62F33AD8" w14:textId="7D36C694" w:rsidR="00E23FBE" w:rsidRDefault="008461DD" w:rsidP="00B04CB5">
      <w:pPr>
        <w:pStyle w:val="a5"/>
        <w:numPr>
          <w:ilvl w:val="0"/>
          <w:numId w:val="2"/>
        </w:numPr>
        <w:spacing w:after="0" w:line="360" w:lineRule="auto"/>
        <w:ind w:left="0" w:firstLine="709"/>
        <w:jc w:val="both"/>
      </w:pPr>
      <w:r w:rsidRPr="00E23FBE">
        <w:rPr>
          <w:rFonts w:ascii="Times New Roman" w:hAnsi="Times New Roman" w:cs="Times New Roman"/>
          <w:sz w:val="28"/>
          <w:szCs w:val="28"/>
        </w:rPr>
        <w:t>Справочная правовая система КонсультантПлюс [Электронный ресурс]. – URL: http://www.consultant.ru.</w:t>
      </w:r>
    </w:p>
    <w:sectPr w:rsidR="00E23FBE" w:rsidSect="00E8645A">
      <w:pgSz w:w="11906" w:h="16838"/>
      <w:pgMar w:top="1134" w:right="851"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9D8C69" w14:textId="77777777" w:rsidR="008801DF" w:rsidRDefault="008801DF" w:rsidP="005D224E">
      <w:pPr>
        <w:spacing w:after="0" w:line="240" w:lineRule="auto"/>
      </w:pPr>
      <w:r>
        <w:separator/>
      </w:r>
    </w:p>
  </w:endnote>
  <w:endnote w:type="continuationSeparator" w:id="0">
    <w:p w14:paraId="0AAA20E0" w14:textId="77777777" w:rsidR="008801DF" w:rsidRDefault="008801DF" w:rsidP="005D224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0"/>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85319102"/>
      <w:docPartObj>
        <w:docPartGallery w:val="Page Numbers (Bottom of Page)"/>
        <w:docPartUnique/>
      </w:docPartObj>
    </w:sdtPr>
    <w:sdtEndPr>
      <w:rPr>
        <w:rFonts w:ascii="Times New Roman" w:hAnsi="Times New Roman" w:cs="Times New Roman"/>
        <w:sz w:val="24"/>
        <w:szCs w:val="24"/>
      </w:rPr>
    </w:sdtEndPr>
    <w:sdtContent>
      <w:p w14:paraId="0DE5D2E6" w14:textId="6F67F240" w:rsidR="008461DD" w:rsidRPr="00677736" w:rsidRDefault="008461DD">
        <w:pPr>
          <w:pStyle w:val="a6"/>
          <w:jc w:val="right"/>
          <w:rPr>
            <w:rFonts w:ascii="Times New Roman" w:hAnsi="Times New Roman" w:cs="Times New Roman"/>
            <w:sz w:val="24"/>
            <w:szCs w:val="24"/>
          </w:rPr>
        </w:pPr>
        <w:r w:rsidRPr="00677736">
          <w:rPr>
            <w:rFonts w:ascii="Times New Roman" w:hAnsi="Times New Roman" w:cs="Times New Roman"/>
            <w:sz w:val="24"/>
            <w:szCs w:val="24"/>
          </w:rPr>
          <w:fldChar w:fldCharType="begin"/>
        </w:r>
        <w:r w:rsidRPr="00677736">
          <w:rPr>
            <w:rFonts w:ascii="Times New Roman" w:hAnsi="Times New Roman" w:cs="Times New Roman"/>
            <w:sz w:val="24"/>
            <w:szCs w:val="24"/>
          </w:rPr>
          <w:instrText>PAGE   \* MERGEFORMAT</w:instrText>
        </w:r>
        <w:r w:rsidRPr="00677736">
          <w:rPr>
            <w:rFonts w:ascii="Times New Roman" w:hAnsi="Times New Roman" w:cs="Times New Roman"/>
            <w:sz w:val="24"/>
            <w:szCs w:val="24"/>
          </w:rPr>
          <w:fldChar w:fldCharType="separate"/>
        </w:r>
        <w:r w:rsidRPr="00677736">
          <w:rPr>
            <w:rFonts w:ascii="Times New Roman" w:hAnsi="Times New Roman" w:cs="Times New Roman"/>
            <w:sz w:val="24"/>
            <w:szCs w:val="24"/>
          </w:rPr>
          <w:t>2</w:t>
        </w:r>
        <w:r w:rsidRPr="00677736">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4257A7" w14:textId="77777777" w:rsidR="008801DF" w:rsidRDefault="008801DF" w:rsidP="005D224E">
      <w:pPr>
        <w:spacing w:after="0" w:line="240" w:lineRule="auto"/>
      </w:pPr>
      <w:r>
        <w:separator/>
      </w:r>
    </w:p>
  </w:footnote>
  <w:footnote w:type="continuationSeparator" w:id="0">
    <w:p w14:paraId="6D7BD8F6" w14:textId="77777777" w:rsidR="008801DF" w:rsidRDefault="008801DF" w:rsidP="005D224E">
      <w:pPr>
        <w:spacing w:after="0" w:line="240" w:lineRule="auto"/>
      </w:pPr>
      <w:r>
        <w:continuationSeparator/>
      </w:r>
    </w:p>
  </w:footnote>
  <w:footnote w:id="1">
    <w:p w14:paraId="10B5B656" w14:textId="38FFF1F7" w:rsidR="008461DD" w:rsidRPr="007C2548" w:rsidRDefault="008461DD" w:rsidP="007C2548">
      <w:pPr>
        <w:pStyle w:val="ab"/>
        <w:jc w:val="both"/>
        <w:rPr>
          <w:rFonts w:ascii="Times New Roman" w:hAnsi="Times New Roman" w:cs="Times New Roman"/>
        </w:rPr>
      </w:pPr>
      <w:r w:rsidRPr="007C2548">
        <w:rPr>
          <w:rStyle w:val="ad"/>
          <w:rFonts w:ascii="Times New Roman" w:hAnsi="Times New Roman" w:cs="Times New Roman"/>
        </w:rPr>
        <w:footnoteRef/>
      </w:r>
      <w:r w:rsidRPr="007C2548">
        <w:rPr>
          <w:rFonts w:ascii="Times New Roman" w:hAnsi="Times New Roman" w:cs="Times New Roman"/>
        </w:rPr>
        <w:t xml:space="preserve"> </w:t>
      </w:r>
      <w:bookmarkStart w:id="2" w:name="_Hlk152583421"/>
      <w:r w:rsidRPr="007C2548">
        <w:rPr>
          <w:rFonts w:ascii="Times New Roman" w:hAnsi="Times New Roman" w:cs="Times New Roman"/>
        </w:rPr>
        <w:t>"Таможенный кодекс Евразийского экономического союза" (ред. от 29.05.2019, с изм. от 18.03.2023) (приложение N 1 к Договору о Таможенном кодексе Евразийского экономического союза)</w:t>
      </w:r>
    </w:p>
    <w:bookmarkEnd w:id="2"/>
  </w:footnote>
  <w:footnote w:id="2">
    <w:p w14:paraId="454CB06A" w14:textId="028FDF92" w:rsidR="008461DD" w:rsidRPr="00D5728D" w:rsidRDefault="008461DD" w:rsidP="00D5728D">
      <w:pPr>
        <w:pStyle w:val="ab"/>
        <w:jc w:val="both"/>
        <w:rPr>
          <w:rFonts w:ascii="Times New Roman" w:hAnsi="Times New Roman" w:cs="Times New Roman"/>
        </w:rPr>
      </w:pPr>
      <w:r w:rsidRPr="00D5728D">
        <w:rPr>
          <w:rStyle w:val="ad"/>
          <w:rFonts w:ascii="Times New Roman" w:hAnsi="Times New Roman" w:cs="Times New Roman"/>
        </w:rPr>
        <w:footnoteRef/>
      </w:r>
      <w:r w:rsidRPr="00D5728D">
        <w:rPr>
          <w:rFonts w:ascii="Times New Roman" w:hAnsi="Times New Roman" w:cs="Times New Roman"/>
        </w:rPr>
        <w:t xml:space="preserve"> Постановление Правительства РФ от 16.12.2019 № 1694 "Об утверждении Правил определения таможенной стоимости товаров, вывозимых из Российской Федерации"</w:t>
      </w:r>
    </w:p>
  </w:footnote>
  <w:footnote w:id="3">
    <w:p w14:paraId="5BE3E08E" w14:textId="7162E3F1" w:rsidR="008461DD" w:rsidRPr="00B8402C" w:rsidRDefault="008461DD" w:rsidP="00B749F9">
      <w:pPr>
        <w:pStyle w:val="ab"/>
        <w:jc w:val="both"/>
        <w:rPr>
          <w:rFonts w:ascii="Times New Roman" w:hAnsi="Times New Roman" w:cs="Times New Roman"/>
        </w:rPr>
      </w:pPr>
      <w:r w:rsidRPr="00B8402C">
        <w:rPr>
          <w:rStyle w:val="ad"/>
          <w:rFonts w:ascii="Times New Roman" w:hAnsi="Times New Roman" w:cs="Times New Roman"/>
        </w:rPr>
        <w:footnoteRef/>
      </w:r>
      <w:r w:rsidRPr="00B8402C">
        <w:rPr>
          <w:rFonts w:ascii="Times New Roman" w:hAnsi="Times New Roman" w:cs="Times New Roman"/>
        </w:rPr>
        <w:t xml:space="preserve"> Соглашение ВТО от 15.04.1994 "Соглашение по применению статьи VII Генерального соглашения по тарифам и торговле 1994 года</w:t>
      </w:r>
      <w:r w:rsidRPr="00B749F9">
        <w:rPr>
          <w:rFonts w:ascii="Times New Roman" w:hAnsi="Times New Roman" w:cs="Times New Roman"/>
        </w:rPr>
        <w:t>)</w:t>
      </w:r>
    </w:p>
  </w:footnote>
  <w:footnote w:id="4">
    <w:p w14:paraId="33A22AC0" w14:textId="059E9654" w:rsidR="008461DD" w:rsidRDefault="008461DD" w:rsidP="00E94AB1">
      <w:pPr>
        <w:pStyle w:val="ab"/>
        <w:jc w:val="both"/>
      </w:pPr>
      <w:r>
        <w:rPr>
          <w:rStyle w:val="ad"/>
        </w:rPr>
        <w:footnoteRef/>
      </w:r>
      <w:r>
        <w:t xml:space="preserve"> </w:t>
      </w:r>
      <w:r w:rsidRPr="007C2548">
        <w:rPr>
          <w:rFonts w:ascii="Times New Roman" w:hAnsi="Times New Roman" w:cs="Times New Roman"/>
        </w:rPr>
        <w:t>"Таможенный кодекс Евразийского экономического союза" (ред. от 29.05.2019, с изм. от 18.03.2023) (приложение N 1 к Договору о Таможенном кодексе Евразийского экономического союза)</w:t>
      </w:r>
    </w:p>
  </w:footnote>
  <w:footnote w:id="5">
    <w:p w14:paraId="6BDBFF04" w14:textId="16CBD1C9" w:rsidR="008461DD" w:rsidRPr="00D7409C" w:rsidRDefault="008461DD" w:rsidP="00D7409C">
      <w:pPr>
        <w:pStyle w:val="ab"/>
        <w:jc w:val="both"/>
        <w:rPr>
          <w:rFonts w:ascii="Times New Roman" w:hAnsi="Times New Roman" w:cs="Times New Roman"/>
        </w:rPr>
      </w:pPr>
      <w:r w:rsidRPr="00D7409C">
        <w:rPr>
          <w:rStyle w:val="ad"/>
          <w:rFonts w:ascii="Times New Roman" w:hAnsi="Times New Roman" w:cs="Times New Roman"/>
        </w:rPr>
        <w:footnoteRef/>
      </w:r>
      <w:r w:rsidRPr="00D7409C">
        <w:rPr>
          <w:rFonts w:ascii="Times New Roman" w:hAnsi="Times New Roman" w:cs="Times New Roman"/>
        </w:rPr>
        <w:t xml:space="preserve"> Инкотермс 2020 – это одиннадцать унифицированных правил, которые применяются в мировой торговле и фиксируют права и обязанности сторон внешнеторгового договора, в части поставки продукции от продавца к покупателю.</w:t>
      </w:r>
    </w:p>
  </w:footnote>
  <w:footnote w:id="6">
    <w:p w14:paraId="68027B0F" w14:textId="077324D5" w:rsidR="008461DD" w:rsidRPr="00FB654A" w:rsidRDefault="008461DD" w:rsidP="00FB654A">
      <w:pPr>
        <w:pStyle w:val="ab"/>
        <w:jc w:val="both"/>
        <w:rPr>
          <w:rFonts w:ascii="Times New Roman" w:hAnsi="Times New Roman" w:cs="Times New Roman"/>
        </w:rPr>
      </w:pPr>
      <w:r w:rsidRPr="00FB654A">
        <w:rPr>
          <w:rStyle w:val="ad"/>
          <w:rFonts w:ascii="Times New Roman" w:hAnsi="Times New Roman" w:cs="Times New Roman"/>
        </w:rPr>
        <w:footnoteRef/>
      </w:r>
      <w:r w:rsidRPr="00FB654A">
        <w:rPr>
          <w:rFonts w:ascii="Times New Roman" w:hAnsi="Times New Roman" w:cs="Times New Roman"/>
        </w:rPr>
        <w:t xml:space="preserve"> "Таможенный кодекс Евразийского экономического союза" (ред. от 29.05.2019, с изм. от 18.03.2023) (приложение N 1 к Договору о Таможенном кодексе Евразийского экономического союза)</w:t>
      </w:r>
    </w:p>
  </w:footnote>
  <w:footnote w:id="7">
    <w:p w14:paraId="32B090AF" w14:textId="4FE2853D" w:rsidR="008461DD" w:rsidRPr="00531434" w:rsidRDefault="008461DD" w:rsidP="00531434">
      <w:pPr>
        <w:pStyle w:val="ab"/>
        <w:jc w:val="both"/>
        <w:rPr>
          <w:rFonts w:ascii="Times New Roman" w:hAnsi="Times New Roman" w:cs="Times New Roman"/>
        </w:rPr>
      </w:pPr>
      <w:r w:rsidRPr="00531434">
        <w:rPr>
          <w:rStyle w:val="ad"/>
          <w:rFonts w:ascii="Times New Roman" w:hAnsi="Times New Roman" w:cs="Times New Roman"/>
        </w:rPr>
        <w:footnoteRef/>
      </w:r>
      <w:r w:rsidRPr="00531434">
        <w:rPr>
          <w:rFonts w:ascii="Times New Roman" w:hAnsi="Times New Roman" w:cs="Times New Roman"/>
        </w:rPr>
        <w:t xml:space="preserve"> Таможенный кодекс Евразийского экономического союза (ред. от 29.05.2019, с изм. от 18.03.2023) (приложение N 1 к Договору о Таможенном кодексе Евразийского экономического союза)</w:t>
      </w:r>
    </w:p>
  </w:footnote>
  <w:footnote w:id="8">
    <w:p w14:paraId="4A9E79E2" w14:textId="77777777" w:rsidR="008461DD" w:rsidRPr="00531434" w:rsidRDefault="008461DD" w:rsidP="00191890">
      <w:pPr>
        <w:pStyle w:val="ab"/>
        <w:jc w:val="both"/>
        <w:rPr>
          <w:rFonts w:ascii="Times New Roman" w:hAnsi="Times New Roman" w:cs="Times New Roman"/>
        </w:rPr>
      </w:pPr>
      <w:r>
        <w:rPr>
          <w:rStyle w:val="ad"/>
        </w:rPr>
        <w:footnoteRef/>
      </w:r>
      <w:r>
        <w:t xml:space="preserve"> </w:t>
      </w:r>
      <w:r w:rsidRPr="00531434">
        <w:rPr>
          <w:rFonts w:ascii="Times New Roman" w:hAnsi="Times New Roman" w:cs="Times New Roman"/>
        </w:rPr>
        <w:t>Таможенный кодекс Евразийского экономического союза (ред. от 29.05.2019, с изм. от 18.03.2023) (приложение N 1 к Договору о Таможенном кодексе Евразийского экономического союза)</w:t>
      </w:r>
    </w:p>
    <w:p w14:paraId="26C9BDE3" w14:textId="57ED6DE9" w:rsidR="008461DD" w:rsidRDefault="008461DD">
      <w:pPr>
        <w:pStyle w:val="ab"/>
      </w:pPr>
    </w:p>
  </w:footnote>
  <w:footnote w:id="9">
    <w:p w14:paraId="71F3F7CA" w14:textId="7D75AB86" w:rsidR="008461DD" w:rsidRDefault="008461DD" w:rsidP="007560C7">
      <w:pPr>
        <w:pStyle w:val="ab"/>
        <w:jc w:val="both"/>
      </w:pPr>
      <w:r>
        <w:rPr>
          <w:rStyle w:val="ad"/>
        </w:rPr>
        <w:footnoteRef/>
      </w:r>
      <w:r>
        <w:t xml:space="preserve"> </w:t>
      </w:r>
      <w:r w:rsidRPr="00531434">
        <w:rPr>
          <w:rFonts w:ascii="Times New Roman" w:hAnsi="Times New Roman" w:cs="Times New Roman"/>
        </w:rPr>
        <w:t>Таможенный кодекс Евразийского экономического союза (ред. от 29.05.2019, с изм. от 18.03.2023) (приложение N 1 к Договору о Таможенном кодексе Евразийского экономического союза)</w:t>
      </w:r>
    </w:p>
  </w:footnote>
  <w:footnote w:id="10">
    <w:p w14:paraId="2C6E410B" w14:textId="7BA3DA35" w:rsidR="008461DD" w:rsidRPr="000E569C" w:rsidRDefault="008461DD" w:rsidP="000E569C">
      <w:pPr>
        <w:pStyle w:val="ab"/>
        <w:jc w:val="both"/>
        <w:rPr>
          <w:rFonts w:ascii="Times New Roman" w:hAnsi="Times New Roman" w:cs="Times New Roman"/>
        </w:rPr>
      </w:pPr>
      <w:r w:rsidRPr="000E569C">
        <w:rPr>
          <w:rStyle w:val="ad"/>
          <w:rFonts w:ascii="Times New Roman" w:hAnsi="Times New Roman" w:cs="Times New Roman"/>
        </w:rPr>
        <w:footnoteRef/>
      </w:r>
      <w:r w:rsidRPr="000E569C">
        <w:rPr>
          <w:rFonts w:ascii="Times New Roman" w:hAnsi="Times New Roman" w:cs="Times New Roman"/>
        </w:rPr>
        <w:t xml:space="preserve"> Решение Коллегии Евразийской экономической комиссии от 16.10.2018 N 160 (ред. от 15.08.2023)"О случаях заполнения декларации таможенной стоимости, утверждении форм декларации таможенной стоимости и Порядка заполнения декларации таможенной стоимости"</w:t>
      </w:r>
    </w:p>
  </w:footnote>
  <w:footnote w:id="11">
    <w:p w14:paraId="3A140793" w14:textId="59344453" w:rsidR="008461DD" w:rsidRDefault="008461DD" w:rsidP="00791B1B">
      <w:pPr>
        <w:pStyle w:val="ab"/>
        <w:jc w:val="both"/>
      </w:pPr>
      <w:r>
        <w:rPr>
          <w:rStyle w:val="ad"/>
        </w:rPr>
        <w:footnoteRef/>
      </w:r>
      <w:r>
        <w:t xml:space="preserve"> </w:t>
      </w:r>
      <w:r w:rsidRPr="00791B1B">
        <w:rPr>
          <w:rFonts w:ascii="Times New Roman" w:hAnsi="Times New Roman" w:cs="Times New Roman"/>
        </w:rPr>
        <w:t>Решение Коллегии Евразийской экономической комиссии от 12 ноября 2013 г. № 254 «О структурах и форматах электронных копий таможенных документов».</w:t>
      </w:r>
      <w:r>
        <w:t xml:space="preserve"> </w:t>
      </w:r>
    </w:p>
  </w:footnote>
  <w:footnote w:id="12">
    <w:p w14:paraId="74381267" w14:textId="1D96461C" w:rsidR="008461DD" w:rsidRPr="00E52EF0" w:rsidRDefault="008461DD" w:rsidP="00E52EF0">
      <w:pPr>
        <w:pStyle w:val="ab"/>
        <w:jc w:val="both"/>
        <w:rPr>
          <w:rFonts w:ascii="Times New Roman" w:hAnsi="Times New Roman" w:cs="Times New Roman"/>
        </w:rPr>
      </w:pPr>
      <w:r w:rsidRPr="00E52EF0">
        <w:rPr>
          <w:rStyle w:val="ad"/>
          <w:rFonts w:ascii="Times New Roman" w:hAnsi="Times New Roman" w:cs="Times New Roman"/>
        </w:rPr>
        <w:footnoteRef/>
      </w:r>
      <w:r w:rsidRPr="00E52EF0">
        <w:rPr>
          <w:rFonts w:ascii="Times New Roman" w:hAnsi="Times New Roman" w:cs="Times New Roman"/>
        </w:rPr>
        <w:t xml:space="preserve"> Приказ ФТС России от 21.05.2021 N 436 "Об установлении Порядка действий должностных лиц таможенных органов при таможенном контроле таможенной стоимости товаров, ввозимых в Российскую Федерацию или вывозимых из Российской Федерации" (Зарегистрировано в Минюсте России 25.06.2021 N 63979)</w:t>
      </w:r>
    </w:p>
  </w:footnote>
  <w:footnote w:id="13">
    <w:p w14:paraId="5C3E4974" w14:textId="479A2D61" w:rsidR="008461DD" w:rsidRPr="00E03A1F" w:rsidRDefault="008461DD" w:rsidP="00E03A1F">
      <w:pPr>
        <w:pStyle w:val="ab"/>
        <w:rPr>
          <w:rFonts w:ascii="Times New Roman" w:hAnsi="Times New Roman" w:cs="Times New Roman"/>
        </w:rPr>
      </w:pPr>
      <w:r>
        <w:rPr>
          <w:rStyle w:val="ad"/>
        </w:rPr>
        <w:footnoteRef/>
      </w:r>
      <w:r>
        <w:t xml:space="preserve"> </w:t>
      </w:r>
      <w:r w:rsidRPr="00E03A1F">
        <w:rPr>
          <w:rFonts w:ascii="Times New Roman" w:hAnsi="Times New Roman" w:cs="Times New Roman"/>
        </w:rPr>
        <w:t>Ст.325 "Таможенный кодекс Евразийского экономического союза" (ред. от 29.05.2019, с изм. от 18.03.2023) (приложение N 1 к Договору о Таможенном кодексе Евразийского экономического союза)</w:t>
      </w:r>
    </w:p>
  </w:footnote>
  <w:footnote w:id="14">
    <w:p w14:paraId="6A7473CD" w14:textId="77777777" w:rsidR="008461DD" w:rsidRPr="001C03DA" w:rsidRDefault="008461DD" w:rsidP="00E03A1F">
      <w:pPr>
        <w:pStyle w:val="ab"/>
        <w:jc w:val="both"/>
        <w:rPr>
          <w:rFonts w:ascii="Times New Roman" w:hAnsi="Times New Roman" w:cs="Times New Roman"/>
        </w:rPr>
      </w:pPr>
      <w:r w:rsidRPr="001C03DA">
        <w:rPr>
          <w:rStyle w:val="ad"/>
          <w:rFonts w:ascii="Times New Roman" w:hAnsi="Times New Roman" w:cs="Times New Roman"/>
        </w:rPr>
        <w:footnoteRef/>
      </w:r>
      <w:r w:rsidRPr="001C03DA">
        <w:rPr>
          <w:rFonts w:ascii="Times New Roman" w:hAnsi="Times New Roman" w:cs="Times New Roman"/>
        </w:rPr>
        <w:t xml:space="preserve"> Составлено автором на основе данных, предоставленных отделом КТС Шереметьевской таможни</w:t>
      </w:r>
    </w:p>
  </w:footnote>
  <w:footnote w:id="15">
    <w:p w14:paraId="108B641B" w14:textId="77777777" w:rsidR="008461DD" w:rsidRPr="00A96536" w:rsidRDefault="008461DD" w:rsidP="005D224E">
      <w:pPr>
        <w:pStyle w:val="ab"/>
        <w:ind w:firstLine="709"/>
        <w:jc w:val="both"/>
        <w:rPr>
          <w:rFonts w:ascii="Times New Roman" w:hAnsi="Times New Roman" w:cs="Times New Roman"/>
        </w:rPr>
      </w:pPr>
      <w:r w:rsidRPr="00A96536">
        <w:rPr>
          <w:rStyle w:val="ad"/>
          <w:rFonts w:ascii="Times New Roman" w:hAnsi="Times New Roman" w:cs="Times New Roman"/>
        </w:rPr>
        <w:footnoteRef/>
      </w:r>
      <w:r w:rsidRPr="00A96536">
        <w:rPr>
          <w:rFonts w:ascii="Times New Roman" w:hAnsi="Times New Roman" w:cs="Times New Roman"/>
        </w:rPr>
        <w:t xml:space="preserve"> Составлено автором на основе данных, предоставленных отделом КТС Шереметьевской таможни</w:t>
      </w:r>
    </w:p>
  </w:footnote>
  <w:footnote w:id="16">
    <w:p w14:paraId="4E8C111C" w14:textId="77777777" w:rsidR="008461DD" w:rsidRPr="00A96536" w:rsidRDefault="008461DD" w:rsidP="00C8705A">
      <w:pPr>
        <w:pStyle w:val="ab"/>
        <w:jc w:val="both"/>
        <w:rPr>
          <w:rFonts w:ascii="Times New Roman" w:hAnsi="Times New Roman" w:cs="Times New Roman"/>
        </w:rPr>
      </w:pPr>
      <w:r w:rsidRPr="00A96536">
        <w:rPr>
          <w:rStyle w:val="ad"/>
          <w:rFonts w:ascii="Times New Roman" w:hAnsi="Times New Roman" w:cs="Times New Roman"/>
        </w:rPr>
        <w:footnoteRef/>
      </w:r>
      <w:r w:rsidRPr="00A96536">
        <w:rPr>
          <w:rFonts w:ascii="Times New Roman" w:hAnsi="Times New Roman" w:cs="Times New Roman"/>
        </w:rPr>
        <w:t xml:space="preserve"> Составлено автором на основе данных, предоставленных отделом КТС Шереметьевской таможни</w:t>
      </w:r>
    </w:p>
  </w:footnote>
  <w:footnote w:id="17">
    <w:p w14:paraId="28A5B1EA" w14:textId="6B1155FA" w:rsidR="008461DD" w:rsidRPr="00E04267" w:rsidRDefault="008461DD" w:rsidP="00E04267">
      <w:pPr>
        <w:pStyle w:val="ab"/>
        <w:jc w:val="both"/>
        <w:rPr>
          <w:rFonts w:ascii="Times New Roman" w:hAnsi="Times New Roman" w:cs="Times New Roman"/>
        </w:rPr>
      </w:pPr>
      <w:r w:rsidRPr="00E04267">
        <w:rPr>
          <w:rStyle w:val="ad"/>
          <w:rFonts w:ascii="Times New Roman" w:hAnsi="Times New Roman" w:cs="Times New Roman"/>
        </w:rPr>
        <w:footnoteRef/>
      </w:r>
      <w:r w:rsidRPr="00E04267">
        <w:rPr>
          <w:rFonts w:ascii="Times New Roman" w:hAnsi="Times New Roman" w:cs="Times New Roman"/>
        </w:rPr>
        <w:t xml:space="preserve"> Решение Коллегии Евразийской экономической комиссии от 19 июня 2018 г. N 103 "Об утверждении Порядка отложенного определения таможенной стоимости товаров" (в ред. решения Коллегии Евразийской экономической комиссии от 06.04.2021 N 42)</w:t>
      </w:r>
    </w:p>
    <w:p w14:paraId="2EC238D3" w14:textId="735B010F" w:rsidR="008461DD" w:rsidRDefault="008461DD">
      <w:pPr>
        <w:pStyle w:val="ab"/>
      </w:pPr>
    </w:p>
  </w:footnote>
  <w:footnote w:id="18">
    <w:p w14:paraId="6E794CF0" w14:textId="09418900" w:rsidR="008461DD" w:rsidRPr="00770389" w:rsidRDefault="008461DD" w:rsidP="005D224E">
      <w:pPr>
        <w:spacing w:after="0" w:line="240" w:lineRule="auto"/>
        <w:ind w:firstLine="709"/>
        <w:jc w:val="both"/>
        <w:rPr>
          <w:rFonts w:ascii="Times New Roman" w:hAnsi="Times New Roman" w:cs="Times New Roman"/>
          <w:sz w:val="28"/>
          <w:szCs w:val="28"/>
        </w:rPr>
      </w:pPr>
      <w:r w:rsidRPr="004458F0">
        <w:rPr>
          <w:rStyle w:val="ad"/>
          <w:rFonts w:ascii="Times New Roman" w:hAnsi="Times New Roman" w:cs="Times New Roman"/>
        </w:rPr>
        <w:footnoteRef/>
      </w:r>
      <w:r w:rsidRPr="004458F0">
        <w:rPr>
          <w:rFonts w:ascii="Times New Roman" w:hAnsi="Times New Roman" w:cs="Times New Roman"/>
          <w:sz w:val="20"/>
          <w:szCs w:val="20"/>
        </w:rPr>
        <w:t xml:space="preserve"> </w:t>
      </w:r>
      <w:r w:rsidRPr="004458F0">
        <w:rPr>
          <w:rFonts w:ascii="Times New Roman" w:hAnsi="Times New Roman" w:cs="Times New Roman"/>
          <w:sz w:val="20"/>
          <w:szCs w:val="20"/>
          <w:bdr w:val="none" w:sz="0" w:space="0" w:color="auto" w:frame="1"/>
        </w:rPr>
        <w:t xml:space="preserve">Официальный сайт ФТС </w:t>
      </w:r>
      <w:r w:rsidRPr="004458F0">
        <w:rPr>
          <w:rFonts w:ascii="Times New Roman" w:hAnsi="Times New Roman" w:cs="Times New Roman"/>
          <w:sz w:val="20"/>
          <w:szCs w:val="20"/>
        </w:rPr>
        <w:t>[Электронный ресурс] — Режим доступа: URL:</w:t>
      </w:r>
      <w:hyperlink r:id="rId1" w:history="1">
        <w:r w:rsidRPr="004458F0">
          <w:rPr>
            <w:rStyle w:val="ae"/>
            <w:rFonts w:ascii="Times New Roman" w:hAnsi="Times New Roman" w:cs="Times New Roman"/>
            <w:sz w:val="20"/>
            <w:szCs w:val="20"/>
          </w:rPr>
          <w:t>http://customs.ru/activity/results/ezhegodnyj-sbornik-tamozhennaya-sluzhba-rossijskoj-federaczii</w:t>
        </w:r>
      </w:hyperlink>
      <w:r>
        <w:rPr>
          <w:rFonts w:ascii="Times New Roman" w:hAnsi="Times New Roman" w:cs="Times New Roman"/>
          <w:sz w:val="20"/>
          <w:szCs w:val="20"/>
        </w:rPr>
        <w:t>(дата обращения: 23.03.2024</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77D96"/>
    <w:multiLevelType w:val="multilevel"/>
    <w:tmpl w:val="892CDA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EA4896"/>
    <w:multiLevelType w:val="hybridMultilevel"/>
    <w:tmpl w:val="59326414"/>
    <w:lvl w:ilvl="0" w:tplc="72EAD5AA">
      <w:start w:val="1"/>
      <w:numFmt w:val="decimal"/>
      <w:lvlText w:val="%1."/>
      <w:lvlJc w:val="left"/>
      <w:pPr>
        <w:ind w:left="1637"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103F6AFB"/>
    <w:multiLevelType w:val="multilevel"/>
    <w:tmpl w:val="C9C40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8E62F8C"/>
    <w:multiLevelType w:val="hybridMultilevel"/>
    <w:tmpl w:val="D244FADE"/>
    <w:lvl w:ilvl="0" w:tplc="853A9D6C">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1332C06"/>
    <w:multiLevelType w:val="multilevel"/>
    <w:tmpl w:val="52887D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97C7E60"/>
    <w:multiLevelType w:val="hybridMultilevel"/>
    <w:tmpl w:val="2AB858EE"/>
    <w:lvl w:ilvl="0" w:tplc="3942F972">
      <w:start w:val="1"/>
      <w:numFmt w:val="decimal"/>
      <w:lvlText w:val="%1."/>
      <w:lvlJc w:val="left"/>
      <w:pPr>
        <w:ind w:left="1069" w:hanging="360"/>
      </w:pPr>
      <w:rPr>
        <w:rFonts w:ascii="Times New Roman" w:eastAsiaTheme="minorHAnsi" w:hAnsi="Times New Roman" w:cs="Times New Roman"/>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15:restartNumberingAfterBreak="0">
    <w:nsid w:val="5B39757E"/>
    <w:multiLevelType w:val="hybridMultilevel"/>
    <w:tmpl w:val="59326414"/>
    <w:lvl w:ilvl="0" w:tplc="72EAD5AA">
      <w:start w:val="1"/>
      <w:numFmt w:val="decimal"/>
      <w:lvlText w:val="%1."/>
      <w:lvlJc w:val="left"/>
      <w:pPr>
        <w:ind w:left="1637" w:hanging="360"/>
      </w:pPr>
      <w:rPr>
        <w:rFonts w:ascii="Times New Roman" w:hAnsi="Times New Roman" w:cs="Times New Roman"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7A6B4090"/>
    <w:multiLevelType w:val="multilevel"/>
    <w:tmpl w:val="25A6A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21545896">
    <w:abstractNumId w:val="5"/>
  </w:num>
  <w:num w:numId="2" w16cid:durableId="885608256">
    <w:abstractNumId w:val="1"/>
  </w:num>
  <w:num w:numId="3" w16cid:durableId="275256073">
    <w:abstractNumId w:val="3"/>
  </w:num>
  <w:num w:numId="4" w16cid:durableId="1905872913">
    <w:abstractNumId w:val="7"/>
  </w:num>
  <w:num w:numId="5" w16cid:durableId="418403984">
    <w:abstractNumId w:val="0"/>
  </w:num>
  <w:num w:numId="6" w16cid:durableId="289091794">
    <w:abstractNumId w:val="4"/>
  </w:num>
  <w:num w:numId="7" w16cid:durableId="732892012">
    <w:abstractNumId w:val="2"/>
  </w:num>
  <w:num w:numId="8" w16cid:durableId="64162013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62D4"/>
    <w:rsid w:val="0008678C"/>
    <w:rsid w:val="00090427"/>
    <w:rsid w:val="00091569"/>
    <w:rsid w:val="00092215"/>
    <w:rsid w:val="000D38B2"/>
    <w:rsid w:val="000E569C"/>
    <w:rsid w:val="00103503"/>
    <w:rsid w:val="00107911"/>
    <w:rsid w:val="001733F5"/>
    <w:rsid w:val="00191890"/>
    <w:rsid w:val="001B1A00"/>
    <w:rsid w:val="001B7624"/>
    <w:rsid w:val="001D1C41"/>
    <w:rsid w:val="001D4060"/>
    <w:rsid w:val="002745D3"/>
    <w:rsid w:val="002813DA"/>
    <w:rsid w:val="002B2688"/>
    <w:rsid w:val="002B65B2"/>
    <w:rsid w:val="002C7F85"/>
    <w:rsid w:val="002D2F2B"/>
    <w:rsid w:val="002D44E4"/>
    <w:rsid w:val="00351964"/>
    <w:rsid w:val="00394968"/>
    <w:rsid w:val="00394F92"/>
    <w:rsid w:val="003A0C15"/>
    <w:rsid w:val="003A2509"/>
    <w:rsid w:val="003A5DF4"/>
    <w:rsid w:val="003B5500"/>
    <w:rsid w:val="003B62D4"/>
    <w:rsid w:val="003C11E3"/>
    <w:rsid w:val="00405AC4"/>
    <w:rsid w:val="0042266F"/>
    <w:rsid w:val="0043534F"/>
    <w:rsid w:val="00444FC6"/>
    <w:rsid w:val="00451A18"/>
    <w:rsid w:val="004572C7"/>
    <w:rsid w:val="0047286B"/>
    <w:rsid w:val="004B3FB2"/>
    <w:rsid w:val="004F25C6"/>
    <w:rsid w:val="00531434"/>
    <w:rsid w:val="00553DCC"/>
    <w:rsid w:val="00561BA2"/>
    <w:rsid w:val="00564A20"/>
    <w:rsid w:val="005B5BF3"/>
    <w:rsid w:val="005C47E3"/>
    <w:rsid w:val="005D224E"/>
    <w:rsid w:val="005D7038"/>
    <w:rsid w:val="00634BB1"/>
    <w:rsid w:val="0065027C"/>
    <w:rsid w:val="00661E7C"/>
    <w:rsid w:val="00677736"/>
    <w:rsid w:val="00683C91"/>
    <w:rsid w:val="006A13DA"/>
    <w:rsid w:val="006C0465"/>
    <w:rsid w:val="00725B66"/>
    <w:rsid w:val="00727EDC"/>
    <w:rsid w:val="007535E6"/>
    <w:rsid w:val="007560C7"/>
    <w:rsid w:val="00787883"/>
    <w:rsid w:val="00791B1B"/>
    <w:rsid w:val="007C2548"/>
    <w:rsid w:val="00807607"/>
    <w:rsid w:val="0081298B"/>
    <w:rsid w:val="00820C88"/>
    <w:rsid w:val="00825BAA"/>
    <w:rsid w:val="008461DD"/>
    <w:rsid w:val="00875426"/>
    <w:rsid w:val="008801DF"/>
    <w:rsid w:val="00885283"/>
    <w:rsid w:val="008A1663"/>
    <w:rsid w:val="008A56FB"/>
    <w:rsid w:val="008B01B0"/>
    <w:rsid w:val="008B1391"/>
    <w:rsid w:val="008E25E9"/>
    <w:rsid w:val="008E4CB7"/>
    <w:rsid w:val="008E5544"/>
    <w:rsid w:val="00904C67"/>
    <w:rsid w:val="00906C80"/>
    <w:rsid w:val="00917BE4"/>
    <w:rsid w:val="00940224"/>
    <w:rsid w:val="00945274"/>
    <w:rsid w:val="00945C3B"/>
    <w:rsid w:val="0096137E"/>
    <w:rsid w:val="00972634"/>
    <w:rsid w:val="009C7855"/>
    <w:rsid w:val="009D402B"/>
    <w:rsid w:val="009E2BB0"/>
    <w:rsid w:val="009F79C6"/>
    <w:rsid w:val="00A1236C"/>
    <w:rsid w:val="00A36521"/>
    <w:rsid w:val="00A54FF7"/>
    <w:rsid w:val="00A70826"/>
    <w:rsid w:val="00AA1F25"/>
    <w:rsid w:val="00AD71F1"/>
    <w:rsid w:val="00B14765"/>
    <w:rsid w:val="00B27F6A"/>
    <w:rsid w:val="00B64019"/>
    <w:rsid w:val="00B749F9"/>
    <w:rsid w:val="00B8402C"/>
    <w:rsid w:val="00B864B8"/>
    <w:rsid w:val="00B97DC6"/>
    <w:rsid w:val="00BB32BF"/>
    <w:rsid w:val="00BB557B"/>
    <w:rsid w:val="00BE23F9"/>
    <w:rsid w:val="00C0178D"/>
    <w:rsid w:val="00C06A95"/>
    <w:rsid w:val="00C16467"/>
    <w:rsid w:val="00C47DF1"/>
    <w:rsid w:val="00C70EAB"/>
    <w:rsid w:val="00C81613"/>
    <w:rsid w:val="00C8705A"/>
    <w:rsid w:val="00CA3384"/>
    <w:rsid w:val="00CA5C73"/>
    <w:rsid w:val="00CF4A92"/>
    <w:rsid w:val="00D31DE2"/>
    <w:rsid w:val="00D5728D"/>
    <w:rsid w:val="00D7409C"/>
    <w:rsid w:val="00D90BA0"/>
    <w:rsid w:val="00E03A1F"/>
    <w:rsid w:val="00E04267"/>
    <w:rsid w:val="00E23FBE"/>
    <w:rsid w:val="00E45F99"/>
    <w:rsid w:val="00E52EF0"/>
    <w:rsid w:val="00E60EF9"/>
    <w:rsid w:val="00E64514"/>
    <w:rsid w:val="00E86452"/>
    <w:rsid w:val="00E8645A"/>
    <w:rsid w:val="00E94AB1"/>
    <w:rsid w:val="00EA2A5B"/>
    <w:rsid w:val="00EA4920"/>
    <w:rsid w:val="00EA59CA"/>
    <w:rsid w:val="00F02E0E"/>
    <w:rsid w:val="00F05EEE"/>
    <w:rsid w:val="00F30D8D"/>
    <w:rsid w:val="00F5267C"/>
    <w:rsid w:val="00FA2FED"/>
    <w:rsid w:val="00FB654A"/>
    <w:rsid w:val="00FC3DEE"/>
    <w:rsid w:val="00FE7C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76A118"/>
  <w15:chartTrackingRefBased/>
  <w15:docId w15:val="{921F517F-3872-44A0-9813-7796273B7E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D224E"/>
  </w:style>
  <w:style w:type="paragraph" w:styleId="1">
    <w:name w:val="heading 1"/>
    <w:basedOn w:val="a"/>
    <w:next w:val="a"/>
    <w:link w:val="10"/>
    <w:uiPriority w:val="9"/>
    <w:qFormat/>
    <w:rsid w:val="00725B66"/>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КР"/>
    <w:basedOn w:val="1"/>
    <w:link w:val="a4"/>
    <w:qFormat/>
    <w:rsid w:val="00725B66"/>
    <w:pPr>
      <w:spacing w:line="276" w:lineRule="auto"/>
    </w:pPr>
    <w:rPr>
      <w:rFonts w:ascii="Times New Roman" w:hAnsi="Times New Roman"/>
      <w:b/>
      <w:sz w:val="28"/>
    </w:rPr>
  </w:style>
  <w:style w:type="character" w:customStyle="1" w:styleId="a4">
    <w:name w:val="КР Знак"/>
    <w:basedOn w:val="10"/>
    <w:link w:val="a3"/>
    <w:rsid w:val="00725B66"/>
    <w:rPr>
      <w:rFonts w:ascii="Times New Roman" w:eastAsiaTheme="majorEastAsia" w:hAnsi="Times New Roman" w:cstheme="majorBidi"/>
      <w:b/>
      <w:color w:val="2E74B5" w:themeColor="accent1" w:themeShade="BF"/>
      <w:sz w:val="28"/>
      <w:szCs w:val="32"/>
    </w:rPr>
  </w:style>
  <w:style w:type="character" w:customStyle="1" w:styleId="10">
    <w:name w:val="Заголовок 1 Знак"/>
    <w:basedOn w:val="a0"/>
    <w:link w:val="1"/>
    <w:uiPriority w:val="9"/>
    <w:rsid w:val="00725B66"/>
    <w:rPr>
      <w:rFonts w:asciiTheme="majorHAnsi" w:eastAsiaTheme="majorEastAsia" w:hAnsiTheme="majorHAnsi" w:cstheme="majorBidi"/>
      <w:color w:val="2E74B5" w:themeColor="accent1" w:themeShade="BF"/>
      <w:sz w:val="32"/>
      <w:szCs w:val="32"/>
    </w:rPr>
  </w:style>
  <w:style w:type="paragraph" w:styleId="a5">
    <w:name w:val="List Paragraph"/>
    <w:basedOn w:val="a"/>
    <w:uiPriority w:val="34"/>
    <w:qFormat/>
    <w:rsid w:val="005D224E"/>
    <w:pPr>
      <w:ind w:left="720"/>
      <w:contextualSpacing/>
    </w:pPr>
  </w:style>
  <w:style w:type="paragraph" w:styleId="a6">
    <w:name w:val="footer"/>
    <w:basedOn w:val="a"/>
    <w:link w:val="a7"/>
    <w:uiPriority w:val="99"/>
    <w:unhideWhenUsed/>
    <w:rsid w:val="005D224E"/>
    <w:pPr>
      <w:tabs>
        <w:tab w:val="center" w:pos="4677"/>
        <w:tab w:val="right" w:pos="9355"/>
      </w:tabs>
      <w:spacing w:after="0" w:line="240" w:lineRule="auto"/>
    </w:pPr>
  </w:style>
  <w:style w:type="character" w:customStyle="1" w:styleId="a7">
    <w:name w:val="Нижний колонтитул Знак"/>
    <w:basedOn w:val="a0"/>
    <w:link w:val="a6"/>
    <w:uiPriority w:val="99"/>
    <w:rsid w:val="005D224E"/>
  </w:style>
  <w:style w:type="table" w:styleId="a8">
    <w:name w:val="Table Grid"/>
    <w:basedOn w:val="a1"/>
    <w:uiPriority w:val="39"/>
    <w:rsid w:val="005D22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TOC Heading"/>
    <w:basedOn w:val="1"/>
    <w:next w:val="a"/>
    <w:uiPriority w:val="39"/>
    <w:unhideWhenUsed/>
    <w:qFormat/>
    <w:rsid w:val="005D224E"/>
    <w:pPr>
      <w:spacing w:before="480" w:line="276" w:lineRule="auto"/>
      <w:outlineLvl w:val="9"/>
    </w:pPr>
    <w:rPr>
      <w:b/>
      <w:bCs/>
      <w:sz w:val="28"/>
      <w:szCs w:val="28"/>
      <w:lang w:eastAsia="ru-RU"/>
    </w:rPr>
  </w:style>
  <w:style w:type="paragraph" w:styleId="2">
    <w:name w:val="toc 2"/>
    <w:basedOn w:val="a"/>
    <w:next w:val="a"/>
    <w:autoRedefine/>
    <w:uiPriority w:val="39"/>
    <w:unhideWhenUsed/>
    <w:rsid w:val="005D224E"/>
    <w:pPr>
      <w:tabs>
        <w:tab w:val="right" w:leader="dot" w:pos="9627"/>
      </w:tabs>
      <w:spacing w:after="0" w:line="276" w:lineRule="auto"/>
      <w:jc w:val="center"/>
    </w:pPr>
    <w:rPr>
      <w:rFonts w:ascii="Times New Roman" w:hAnsi="Times New Roman" w:cs="Times New Roman"/>
      <w:b/>
      <w:bCs/>
      <w:sz w:val="28"/>
      <w:szCs w:val="28"/>
    </w:rPr>
  </w:style>
  <w:style w:type="paragraph" w:styleId="aa">
    <w:name w:val="Normal (Web)"/>
    <w:basedOn w:val="a"/>
    <w:uiPriority w:val="99"/>
    <w:unhideWhenUsed/>
    <w:rsid w:val="005D224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b">
    <w:name w:val="footnote text"/>
    <w:basedOn w:val="a"/>
    <w:link w:val="ac"/>
    <w:uiPriority w:val="99"/>
    <w:unhideWhenUsed/>
    <w:rsid w:val="005D224E"/>
    <w:pPr>
      <w:spacing w:after="0" w:line="240" w:lineRule="auto"/>
    </w:pPr>
    <w:rPr>
      <w:sz w:val="20"/>
      <w:szCs w:val="20"/>
    </w:rPr>
  </w:style>
  <w:style w:type="character" w:customStyle="1" w:styleId="ac">
    <w:name w:val="Текст сноски Знак"/>
    <w:basedOn w:val="a0"/>
    <w:link w:val="ab"/>
    <w:uiPriority w:val="99"/>
    <w:rsid w:val="005D224E"/>
    <w:rPr>
      <w:sz w:val="20"/>
      <w:szCs w:val="20"/>
    </w:rPr>
  </w:style>
  <w:style w:type="character" w:styleId="ad">
    <w:name w:val="footnote reference"/>
    <w:basedOn w:val="a0"/>
    <w:uiPriority w:val="99"/>
    <w:semiHidden/>
    <w:unhideWhenUsed/>
    <w:rsid w:val="005D224E"/>
    <w:rPr>
      <w:vertAlign w:val="superscript"/>
    </w:rPr>
  </w:style>
  <w:style w:type="character" w:styleId="ae">
    <w:name w:val="Hyperlink"/>
    <w:basedOn w:val="a0"/>
    <w:uiPriority w:val="99"/>
    <w:unhideWhenUsed/>
    <w:rsid w:val="005D224E"/>
    <w:rPr>
      <w:color w:val="0000FF"/>
      <w:u w:val="single"/>
    </w:rPr>
  </w:style>
  <w:style w:type="paragraph" w:customStyle="1" w:styleId="11">
    <w:name w:val="Стиль1"/>
    <w:basedOn w:val="1"/>
    <w:link w:val="12"/>
    <w:qFormat/>
    <w:rsid w:val="005D224E"/>
    <w:pPr>
      <w:spacing w:line="276" w:lineRule="auto"/>
    </w:pPr>
    <w:rPr>
      <w:rFonts w:ascii="Times New Roman" w:hAnsi="Times New Roman"/>
      <w:b/>
      <w:sz w:val="28"/>
    </w:rPr>
  </w:style>
  <w:style w:type="character" w:customStyle="1" w:styleId="12">
    <w:name w:val="Стиль1 Знак"/>
    <w:basedOn w:val="10"/>
    <w:link w:val="11"/>
    <w:rsid w:val="005D224E"/>
    <w:rPr>
      <w:rFonts w:ascii="Times New Roman" w:eastAsiaTheme="majorEastAsia" w:hAnsi="Times New Roman" w:cstheme="majorBidi"/>
      <w:b/>
      <w:color w:val="2E74B5" w:themeColor="accent1" w:themeShade="BF"/>
      <w:sz w:val="28"/>
      <w:szCs w:val="32"/>
    </w:rPr>
  </w:style>
  <w:style w:type="paragraph" w:styleId="af">
    <w:name w:val="header"/>
    <w:basedOn w:val="a"/>
    <w:link w:val="af0"/>
    <w:uiPriority w:val="99"/>
    <w:unhideWhenUsed/>
    <w:rsid w:val="005D224E"/>
    <w:pPr>
      <w:tabs>
        <w:tab w:val="center" w:pos="4677"/>
        <w:tab w:val="right" w:pos="9355"/>
      </w:tabs>
      <w:spacing w:after="0" w:line="240" w:lineRule="auto"/>
    </w:pPr>
  </w:style>
  <w:style w:type="character" w:customStyle="1" w:styleId="af0">
    <w:name w:val="Верхний колонтитул Знак"/>
    <w:basedOn w:val="a0"/>
    <w:link w:val="af"/>
    <w:uiPriority w:val="99"/>
    <w:rsid w:val="005D224E"/>
  </w:style>
  <w:style w:type="paragraph" w:styleId="13">
    <w:name w:val="toc 1"/>
    <w:basedOn w:val="a"/>
    <w:next w:val="a"/>
    <w:autoRedefine/>
    <w:uiPriority w:val="39"/>
    <w:unhideWhenUsed/>
    <w:rsid w:val="008B1391"/>
    <w:pPr>
      <w:spacing w:after="100"/>
    </w:pPr>
  </w:style>
  <w:style w:type="character" w:styleId="af1">
    <w:name w:val="Unresolved Mention"/>
    <w:basedOn w:val="a0"/>
    <w:uiPriority w:val="99"/>
    <w:semiHidden/>
    <w:unhideWhenUsed/>
    <w:rsid w:val="00394968"/>
    <w:rPr>
      <w:color w:val="605E5C"/>
      <w:shd w:val="clear" w:color="auto" w:fill="E1DFDD"/>
    </w:rPr>
  </w:style>
  <w:style w:type="paragraph" w:styleId="3">
    <w:name w:val="toc 3"/>
    <w:basedOn w:val="a"/>
    <w:next w:val="a"/>
    <w:autoRedefine/>
    <w:uiPriority w:val="39"/>
    <w:unhideWhenUsed/>
    <w:rsid w:val="00B14765"/>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5750133">
      <w:bodyDiv w:val="1"/>
      <w:marLeft w:val="0"/>
      <w:marRight w:val="0"/>
      <w:marTop w:val="0"/>
      <w:marBottom w:val="0"/>
      <w:divBdr>
        <w:top w:val="none" w:sz="0" w:space="0" w:color="auto"/>
        <w:left w:val="none" w:sz="0" w:space="0" w:color="auto"/>
        <w:bottom w:val="none" w:sz="0" w:space="0" w:color="auto"/>
        <w:right w:val="none" w:sz="0" w:space="0" w:color="auto"/>
      </w:divBdr>
      <w:divsChild>
        <w:div w:id="487554213">
          <w:marLeft w:val="0"/>
          <w:marRight w:val="0"/>
          <w:marTop w:val="0"/>
          <w:marBottom w:val="0"/>
          <w:divBdr>
            <w:top w:val="none" w:sz="0" w:space="0" w:color="auto"/>
            <w:left w:val="none" w:sz="0" w:space="0" w:color="auto"/>
            <w:bottom w:val="none" w:sz="0" w:space="0" w:color="auto"/>
            <w:right w:val="none" w:sz="0" w:space="0" w:color="auto"/>
          </w:divBdr>
        </w:div>
        <w:div w:id="1844591857">
          <w:marLeft w:val="0"/>
          <w:marRight w:val="135"/>
          <w:marTop w:val="0"/>
          <w:marBottom w:val="0"/>
          <w:divBdr>
            <w:top w:val="none" w:sz="0" w:space="0" w:color="auto"/>
            <w:left w:val="none" w:sz="0" w:space="0" w:color="auto"/>
            <w:bottom w:val="none" w:sz="0" w:space="0" w:color="auto"/>
            <w:right w:val="none" w:sz="0" w:space="0" w:color="auto"/>
          </w:divBdr>
        </w:div>
        <w:div w:id="471993833">
          <w:marLeft w:val="0"/>
          <w:marRight w:val="0"/>
          <w:marTop w:val="0"/>
          <w:marBottom w:val="0"/>
          <w:divBdr>
            <w:top w:val="none" w:sz="0" w:space="0" w:color="auto"/>
            <w:left w:val="none" w:sz="0" w:space="0" w:color="auto"/>
            <w:bottom w:val="none" w:sz="0" w:space="0" w:color="auto"/>
            <w:right w:val="none" w:sz="0" w:space="0" w:color="auto"/>
          </w:divBdr>
        </w:div>
      </w:divsChild>
    </w:div>
    <w:div w:id="1751735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diagramData" Target="diagrams/data2.xml"/><Relationship Id="rId18" Type="http://schemas.openxmlformats.org/officeDocument/2006/relationships/diagramData" Target="diagrams/data3.xml"/><Relationship Id="rId26" Type="http://schemas.openxmlformats.org/officeDocument/2006/relationships/diagramColors" Target="diagrams/colors4.xml"/><Relationship Id="rId39" Type="http://schemas.openxmlformats.org/officeDocument/2006/relationships/image" Target="media/image2.PNG"/><Relationship Id="rId21" Type="http://schemas.openxmlformats.org/officeDocument/2006/relationships/diagramColors" Target="diagrams/colors3.xml"/><Relationship Id="rId34" Type="http://schemas.openxmlformats.org/officeDocument/2006/relationships/diagramData" Target="diagrams/data6.xml"/><Relationship Id="rId42" Type="http://schemas.openxmlformats.org/officeDocument/2006/relationships/chart" Target="charts/chart1.xml"/><Relationship Id="rId47" Type="http://schemas.openxmlformats.org/officeDocument/2006/relationships/diagramColors" Target="diagrams/colors7.xml"/><Relationship Id="rId50" Type="http://schemas.openxmlformats.org/officeDocument/2006/relationships/image" Target="media/image5.PNG"/><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diagramColors" Target="diagrams/colors2.xml"/><Relationship Id="rId29" Type="http://schemas.openxmlformats.org/officeDocument/2006/relationships/diagramLayout" Target="diagrams/layout5.xml"/><Relationship Id="rId11" Type="http://schemas.openxmlformats.org/officeDocument/2006/relationships/diagramColors" Target="diagrams/colors1.xml"/><Relationship Id="rId24" Type="http://schemas.openxmlformats.org/officeDocument/2006/relationships/diagramLayout" Target="diagrams/layout4.xml"/><Relationship Id="rId32" Type="http://schemas.microsoft.com/office/2007/relationships/diagramDrawing" Target="diagrams/drawing5.xml"/><Relationship Id="rId37" Type="http://schemas.openxmlformats.org/officeDocument/2006/relationships/diagramColors" Target="diagrams/colors6.xml"/><Relationship Id="rId40" Type="http://schemas.openxmlformats.org/officeDocument/2006/relationships/image" Target="media/image3.PNG"/><Relationship Id="rId45" Type="http://schemas.openxmlformats.org/officeDocument/2006/relationships/diagramLayout" Target="diagrams/layout7.xml"/><Relationship Id="rId53"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diagramQuickStyle" Target="diagrams/quickStyle1.xml"/><Relationship Id="rId19" Type="http://schemas.openxmlformats.org/officeDocument/2006/relationships/diagramLayout" Target="diagrams/layout3.xml"/><Relationship Id="rId31" Type="http://schemas.openxmlformats.org/officeDocument/2006/relationships/diagramColors" Target="diagrams/colors5.xml"/><Relationship Id="rId44" Type="http://schemas.openxmlformats.org/officeDocument/2006/relationships/diagramData" Target="diagrams/data7.xml"/><Relationship Id="rId52" Type="http://schemas.openxmlformats.org/officeDocument/2006/relationships/hyperlink" Target="http://www.nalog.ru" TargetMode="External"/><Relationship Id="rId4" Type="http://schemas.openxmlformats.org/officeDocument/2006/relationships/settings" Target="settings.xml"/><Relationship Id="rId9" Type="http://schemas.openxmlformats.org/officeDocument/2006/relationships/diagramLayout" Target="diagrams/layout1.xml"/><Relationship Id="rId14" Type="http://schemas.openxmlformats.org/officeDocument/2006/relationships/diagramLayout" Target="diagrams/layout2.xml"/><Relationship Id="rId22" Type="http://schemas.microsoft.com/office/2007/relationships/diagramDrawing" Target="diagrams/drawing3.xml"/><Relationship Id="rId27" Type="http://schemas.microsoft.com/office/2007/relationships/diagramDrawing" Target="diagrams/drawing4.xml"/><Relationship Id="rId30" Type="http://schemas.openxmlformats.org/officeDocument/2006/relationships/diagramQuickStyle" Target="diagrams/quickStyle5.xml"/><Relationship Id="rId35" Type="http://schemas.openxmlformats.org/officeDocument/2006/relationships/diagramLayout" Target="diagrams/layout6.xml"/><Relationship Id="rId43" Type="http://schemas.openxmlformats.org/officeDocument/2006/relationships/chart" Target="charts/chart2.xml"/><Relationship Id="rId48" Type="http://schemas.microsoft.com/office/2007/relationships/diagramDrawing" Target="diagrams/drawing7.xml"/><Relationship Id="rId8" Type="http://schemas.openxmlformats.org/officeDocument/2006/relationships/diagramData" Target="diagrams/data1.xml"/><Relationship Id="rId51" Type="http://schemas.openxmlformats.org/officeDocument/2006/relationships/footer" Target="footer1.xml"/><Relationship Id="rId3" Type="http://schemas.openxmlformats.org/officeDocument/2006/relationships/styles" Target="styles.xml"/><Relationship Id="rId12" Type="http://schemas.microsoft.com/office/2007/relationships/diagramDrawing" Target="diagrams/drawing1.xml"/><Relationship Id="rId17" Type="http://schemas.microsoft.com/office/2007/relationships/diagramDrawing" Target="diagrams/drawing2.xml"/><Relationship Id="rId25" Type="http://schemas.openxmlformats.org/officeDocument/2006/relationships/diagramQuickStyle" Target="diagrams/quickStyle4.xml"/><Relationship Id="rId33" Type="http://schemas.openxmlformats.org/officeDocument/2006/relationships/image" Target="media/image1.png"/><Relationship Id="rId38" Type="http://schemas.microsoft.com/office/2007/relationships/diagramDrawing" Target="diagrams/drawing6.xml"/><Relationship Id="rId46" Type="http://schemas.openxmlformats.org/officeDocument/2006/relationships/diagramQuickStyle" Target="diagrams/quickStyle7.xml"/><Relationship Id="rId20" Type="http://schemas.openxmlformats.org/officeDocument/2006/relationships/diagramQuickStyle" Target="diagrams/quickStyle3.xml"/><Relationship Id="rId41" Type="http://schemas.openxmlformats.org/officeDocument/2006/relationships/image" Target="media/image4.PNG"/><Relationship Id="rId54"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diagramQuickStyle" Target="diagrams/quickStyle2.xml"/><Relationship Id="rId23" Type="http://schemas.openxmlformats.org/officeDocument/2006/relationships/diagramData" Target="diagrams/data4.xml"/><Relationship Id="rId28" Type="http://schemas.openxmlformats.org/officeDocument/2006/relationships/diagramData" Target="diagrams/data5.xml"/><Relationship Id="rId36" Type="http://schemas.openxmlformats.org/officeDocument/2006/relationships/diagramQuickStyle" Target="diagrams/quickStyle6.xml"/><Relationship Id="rId49" Type="http://schemas.openxmlformats.org/officeDocument/2006/relationships/chart" Target="charts/chart3.xml"/></Relationships>
</file>

<file path=word/_rels/footnotes.xml.rels><?xml version="1.0" encoding="UTF-8" standalone="yes"?>
<Relationships xmlns="http://schemas.openxmlformats.org/package/2006/relationships"><Relationship Id="rId1" Type="http://schemas.openxmlformats.org/officeDocument/2006/relationships/hyperlink" Target="http://customs.ru/activity/results/ezhegodnyj-sbornik-tamozhennaya-sluzhba-rossijskoj-federaczii"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_____Microsoft_Excel.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_____Microsoft_Excel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_____Microsoft_Excel2.xlsx"/><Relationship Id="rId2" Type="http://schemas.microsoft.com/office/2011/relationships/chartColorStyle" Target="colors3.xml"/><Relationship Id="rId1" Type="http://schemas.microsoft.com/office/2011/relationships/chartStyle" Target="style3.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ПРД №6</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Лист1!$A$2:$A$9</c:f>
              <c:strCache>
                <c:ptCount val="8"/>
                <c:pt idx="0">
                  <c:v>1 кв. 2021</c:v>
                </c:pt>
                <c:pt idx="1">
                  <c:v>2 кв. 2021</c:v>
                </c:pt>
                <c:pt idx="2">
                  <c:v>3 кв. 2021</c:v>
                </c:pt>
                <c:pt idx="3">
                  <c:v>4 кв. 2021</c:v>
                </c:pt>
                <c:pt idx="4">
                  <c:v>1 кв. 2022</c:v>
                </c:pt>
                <c:pt idx="5">
                  <c:v>2 кв. 2022</c:v>
                </c:pt>
                <c:pt idx="6">
                  <c:v>3 кв. 2022</c:v>
                </c:pt>
                <c:pt idx="7">
                  <c:v>4 кв. 2022</c:v>
                </c:pt>
              </c:strCache>
            </c:strRef>
          </c:cat>
          <c:val>
            <c:numRef>
              <c:f>Лист1!$B$2:$B$9</c:f>
              <c:numCache>
                <c:formatCode>0.00%</c:formatCode>
                <c:ptCount val="8"/>
                <c:pt idx="0">
                  <c:v>0.76080000000000003</c:v>
                </c:pt>
                <c:pt idx="1">
                  <c:v>0.74180000000000001</c:v>
                </c:pt>
                <c:pt idx="2">
                  <c:v>0.70760000000000001</c:v>
                </c:pt>
                <c:pt idx="3">
                  <c:v>0.78280000000000005</c:v>
                </c:pt>
                <c:pt idx="4">
                  <c:v>0.77980000000000005</c:v>
                </c:pt>
                <c:pt idx="5">
                  <c:v>0.76100000000000001</c:v>
                </c:pt>
                <c:pt idx="6">
                  <c:v>0.76470000000000005</c:v>
                </c:pt>
                <c:pt idx="7">
                  <c:v>0.75280000000000002</c:v>
                </c:pt>
              </c:numCache>
            </c:numRef>
          </c:val>
          <c:extLst>
            <c:ext xmlns:c16="http://schemas.microsoft.com/office/drawing/2014/chart" uri="{C3380CC4-5D6E-409C-BE32-E72D297353CC}">
              <c16:uniqueId val="{00000000-A218-4A5E-9C7C-F76C9D7DE61C}"/>
            </c:ext>
          </c:extLst>
        </c:ser>
        <c:dLbls>
          <c:dLblPos val="outEnd"/>
          <c:showLegendKey val="0"/>
          <c:showVal val="1"/>
          <c:showCatName val="0"/>
          <c:showSerName val="0"/>
          <c:showPercent val="0"/>
          <c:showBubbleSize val="0"/>
        </c:dLbls>
        <c:gapWidth val="219"/>
        <c:overlap val="-27"/>
        <c:axId val="558725248"/>
        <c:axId val="558720936"/>
      </c:barChart>
      <c:catAx>
        <c:axId val="558725248"/>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58720936"/>
        <c:crosses val="autoZero"/>
        <c:auto val="1"/>
        <c:lblAlgn val="ctr"/>
        <c:lblOffset val="100"/>
        <c:noMultiLvlLbl val="0"/>
      </c:catAx>
      <c:valAx>
        <c:axId val="558720936"/>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58725248"/>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title>
    <c:autoTitleDeleted val="0"/>
    <c:plotArea>
      <c:layout/>
      <c:barChart>
        <c:barDir val="col"/>
        <c:grouping val="clustered"/>
        <c:varyColors val="0"/>
        <c:ser>
          <c:idx val="0"/>
          <c:order val="0"/>
          <c:tx>
            <c:strRef>
              <c:f>Лист1!$B$1</c:f>
              <c:strCache>
                <c:ptCount val="1"/>
                <c:pt idx="0">
                  <c:v>ПРД №8</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Times New Roman" panose="02020603050405020304" pitchFamily="18" charset="0"/>
                    <a:ea typeface="+mn-ea"/>
                    <a:cs typeface="Times New Roman" panose="02020603050405020304" pitchFamily="18" charset="0"/>
                  </a:defRPr>
                </a:pPr>
                <a:endParaRPr lang="ru-RU"/>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Лист1!$A$2:$A$9</c:f>
              <c:strCache>
                <c:ptCount val="8"/>
                <c:pt idx="0">
                  <c:v>1 кв. 2020</c:v>
                </c:pt>
                <c:pt idx="1">
                  <c:v>2 кв. 2020</c:v>
                </c:pt>
                <c:pt idx="2">
                  <c:v>3 кв. 2021</c:v>
                </c:pt>
                <c:pt idx="3">
                  <c:v>4 кв. 2021</c:v>
                </c:pt>
                <c:pt idx="4">
                  <c:v>1 кв. 2022</c:v>
                </c:pt>
                <c:pt idx="5">
                  <c:v>2 кв. 2022</c:v>
                </c:pt>
                <c:pt idx="6">
                  <c:v>3 кв. 2022</c:v>
                </c:pt>
                <c:pt idx="7">
                  <c:v>4 кв. 2022</c:v>
                </c:pt>
              </c:strCache>
            </c:strRef>
          </c:cat>
          <c:val>
            <c:numRef>
              <c:f>Лист1!$B$2:$B$9</c:f>
              <c:numCache>
                <c:formatCode>0.00%</c:formatCode>
                <c:ptCount val="8"/>
                <c:pt idx="0">
                  <c:v>0.99590000000000001</c:v>
                </c:pt>
                <c:pt idx="1">
                  <c:v>0.98509999999999998</c:v>
                </c:pt>
                <c:pt idx="2">
                  <c:v>0.9768</c:v>
                </c:pt>
                <c:pt idx="3">
                  <c:v>0.97030000000000005</c:v>
                </c:pt>
                <c:pt idx="4">
                  <c:v>0.96599999999999997</c:v>
                </c:pt>
                <c:pt idx="5">
                  <c:v>0.99639999999999995</c:v>
                </c:pt>
                <c:pt idx="6">
                  <c:v>0.96260000000000001</c:v>
                </c:pt>
                <c:pt idx="7">
                  <c:v>0.99790000000000001</c:v>
                </c:pt>
              </c:numCache>
            </c:numRef>
          </c:val>
          <c:extLst>
            <c:ext xmlns:c16="http://schemas.microsoft.com/office/drawing/2014/chart" uri="{C3380CC4-5D6E-409C-BE32-E72D297353CC}">
              <c16:uniqueId val="{00000000-DE4E-45ED-A8F1-7777D6DAE921}"/>
            </c:ext>
          </c:extLst>
        </c:ser>
        <c:dLbls>
          <c:dLblPos val="outEnd"/>
          <c:showLegendKey val="0"/>
          <c:showVal val="1"/>
          <c:showCatName val="0"/>
          <c:showSerName val="0"/>
          <c:showPercent val="0"/>
          <c:showBubbleSize val="0"/>
        </c:dLbls>
        <c:gapWidth val="219"/>
        <c:overlap val="-27"/>
        <c:axId val="558719760"/>
        <c:axId val="558721328"/>
      </c:barChart>
      <c:catAx>
        <c:axId val="558719760"/>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58721328"/>
        <c:crosses val="autoZero"/>
        <c:auto val="1"/>
        <c:lblAlgn val="ctr"/>
        <c:lblOffset val="100"/>
        <c:noMultiLvlLbl val="0"/>
      </c:catAx>
      <c:valAx>
        <c:axId val="558721328"/>
        <c:scaling>
          <c:orientation val="minMax"/>
        </c:scaling>
        <c:delete val="0"/>
        <c:axPos val="l"/>
        <c:majorGridlines>
          <c:spPr>
            <a:ln w="9525" cap="flat" cmpd="sng" algn="ctr">
              <a:solidFill>
                <a:schemeClr val="tx1">
                  <a:lumMod val="15000"/>
                  <a:lumOff val="85000"/>
                </a:schemeClr>
              </a:solidFill>
              <a:round/>
            </a:ln>
            <a:effectLst/>
          </c:spPr>
        </c:majorGridlines>
        <c:numFmt formatCode="0.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crossAx val="558719760"/>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9274468681845391"/>
          <c:y val="3.4078807241746542E-2"/>
          <c:w val="0.55709435842050847"/>
          <c:h val="0.55798428551063706"/>
        </c:manualLayout>
      </c:layout>
      <c:pieChart>
        <c:varyColors val="1"/>
        <c:ser>
          <c:idx val="0"/>
          <c:order val="0"/>
          <c:tx>
            <c:strRef>
              <c:f>Лист1!$B$1</c:f>
              <c:strCache>
                <c:ptCount val="1"/>
                <c:pt idx="0">
                  <c:v>Столбец2</c:v>
                </c:pt>
              </c:strCache>
            </c:strRef>
          </c:tx>
          <c:dPt>
            <c:idx val="0"/>
            <c:bubble3D val="0"/>
            <c:spPr>
              <a:gradFill rotWithShape="1">
                <a:gsLst>
                  <a:gs pos="0">
                    <a:schemeClr val="accent1">
                      <a:satMod val="103000"/>
                      <a:lumMod val="102000"/>
                      <a:tint val="94000"/>
                    </a:schemeClr>
                  </a:gs>
                  <a:gs pos="50000">
                    <a:schemeClr val="accent1">
                      <a:satMod val="110000"/>
                      <a:lumMod val="100000"/>
                      <a:shade val="100000"/>
                    </a:schemeClr>
                  </a:gs>
                  <a:gs pos="100000">
                    <a:schemeClr val="accent1">
                      <a:lumMod val="99000"/>
                      <a:satMod val="120000"/>
                      <a:shade val="78000"/>
                    </a:schemeClr>
                  </a:gs>
                </a:gsLst>
                <a:lin ang="5400000" scaled="0"/>
              </a:gradFill>
              <a:ln>
                <a:noFill/>
              </a:ln>
              <a:effectLst/>
            </c:spPr>
            <c:extLst>
              <c:ext xmlns:c16="http://schemas.microsoft.com/office/drawing/2014/chart" uri="{C3380CC4-5D6E-409C-BE32-E72D297353CC}">
                <c16:uniqueId val="{00000001-05D8-4D4E-9445-2153392BEECF}"/>
              </c:ext>
            </c:extLst>
          </c:dPt>
          <c:dPt>
            <c:idx val="1"/>
            <c:bubble3D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c:spPr>
            <c:extLst>
              <c:ext xmlns:c16="http://schemas.microsoft.com/office/drawing/2014/chart" uri="{C3380CC4-5D6E-409C-BE32-E72D297353CC}">
                <c16:uniqueId val="{00000003-05D8-4D4E-9445-2153392BEECF}"/>
              </c:ext>
            </c:extLst>
          </c:dPt>
          <c:dPt>
            <c:idx val="2"/>
            <c:bubble3D val="0"/>
            <c:spPr>
              <a:gradFill rotWithShape="1">
                <a:gsLst>
                  <a:gs pos="0">
                    <a:schemeClr val="accent3">
                      <a:satMod val="103000"/>
                      <a:lumMod val="102000"/>
                      <a:tint val="94000"/>
                    </a:schemeClr>
                  </a:gs>
                  <a:gs pos="50000">
                    <a:schemeClr val="accent3">
                      <a:satMod val="110000"/>
                      <a:lumMod val="100000"/>
                      <a:shade val="100000"/>
                    </a:schemeClr>
                  </a:gs>
                  <a:gs pos="100000">
                    <a:schemeClr val="accent3">
                      <a:lumMod val="99000"/>
                      <a:satMod val="120000"/>
                      <a:shade val="78000"/>
                    </a:schemeClr>
                  </a:gs>
                </a:gsLst>
                <a:lin ang="5400000" scaled="0"/>
              </a:gradFill>
              <a:ln>
                <a:noFill/>
              </a:ln>
              <a:effectLst/>
            </c:spPr>
            <c:extLst>
              <c:ext xmlns:c16="http://schemas.microsoft.com/office/drawing/2014/chart" uri="{C3380CC4-5D6E-409C-BE32-E72D297353CC}">
                <c16:uniqueId val="{00000005-05D8-4D4E-9445-2153392BEECF}"/>
              </c:ext>
            </c:extLst>
          </c:dPt>
          <c:dPt>
            <c:idx val="3"/>
            <c:bubble3D val="0"/>
            <c:spPr>
              <a:gradFill rotWithShape="1">
                <a:gsLst>
                  <a:gs pos="0">
                    <a:schemeClr val="accent4">
                      <a:satMod val="103000"/>
                      <a:lumMod val="102000"/>
                      <a:tint val="94000"/>
                    </a:schemeClr>
                  </a:gs>
                  <a:gs pos="50000">
                    <a:schemeClr val="accent4">
                      <a:satMod val="110000"/>
                      <a:lumMod val="100000"/>
                      <a:shade val="100000"/>
                    </a:schemeClr>
                  </a:gs>
                  <a:gs pos="100000">
                    <a:schemeClr val="accent4">
                      <a:lumMod val="99000"/>
                      <a:satMod val="120000"/>
                      <a:shade val="78000"/>
                    </a:schemeClr>
                  </a:gs>
                </a:gsLst>
                <a:lin ang="5400000" scaled="0"/>
              </a:gradFill>
              <a:ln>
                <a:noFill/>
              </a:ln>
              <a:effectLst/>
            </c:spPr>
            <c:extLst>
              <c:ext xmlns:c16="http://schemas.microsoft.com/office/drawing/2014/chart" uri="{C3380CC4-5D6E-409C-BE32-E72D297353CC}">
                <c16:uniqueId val="{00000007-05D8-4D4E-9445-2153392BEECF}"/>
              </c:ext>
            </c:extLst>
          </c:dPt>
          <c:dPt>
            <c:idx val="4"/>
            <c:bubble3D val="0"/>
            <c:spPr>
              <a:gradFill rotWithShape="1">
                <a:gsLst>
                  <a:gs pos="0">
                    <a:schemeClr val="accent5">
                      <a:satMod val="103000"/>
                      <a:lumMod val="102000"/>
                      <a:tint val="94000"/>
                    </a:schemeClr>
                  </a:gs>
                  <a:gs pos="50000">
                    <a:schemeClr val="accent5">
                      <a:satMod val="110000"/>
                      <a:lumMod val="100000"/>
                      <a:shade val="100000"/>
                    </a:schemeClr>
                  </a:gs>
                  <a:gs pos="100000">
                    <a:schemeClr val="accent5">
                      <a:lumMod val="99000"/>
                      <a:satMod val="120000"/>
                      <a:shade val="78000"/>
                    </a:schemeClr>
                  </a:gs>
                </a:gsLst>
                <a:lin ang="5400000" scaled="0"/>
              </a:gradFill>
              <a:ln>
                <a:noFill/>
              </a:ln>
              <a:effectLst/>
            </c:spPr>
            <c:extLst>
              <c:ext xmlns:c16="http://schemas.microsoft.com/office/drawing/2014/chart" uri="{C3380CC4-5D6E-409C-BE32-E72D297353CC}">
                <c16:uniqueId val="{00000009-05D8-4D4E-9445-2153392BEECF}"/>
              </c:ext>
            </c:extLst>
          </c:dPt>
          <c:dPt>
            <c:idx val="5"/>
            <c:bubble3D val="0"/>
            <c:spPr>
              <a:gradFill rotWithShape="1">
                <a:gsLst>
                  <a:gs pos="0">
                    <a:schemeClr val="accent6">
                      <a:satMod val="103000"/>
                      <a:lumMod val="102000"/>
                      <a:tint val="94000"/>
                    </a:schemeClr>
                  </a:gs>
                  <a:gs pos="50000">
                    <a:schemeClr val="accent6">
                      <a:satMod val="110000"/>
                      <a:lumMod val="100000"/>
                      <a:shade val="100000"/>
                    </a:schemeClr>
                  </a:gs>
                  <a:gs pos="100000">
                    <a:schemeClr val="accent6">
                      <a:lumMod val="99000"/>
                      <a:satMod val="120000"/>
                      <a:shade val="78000"/>
                    </a:schemeClr>
                  </a:gs>
                </a:gsLst>
                <a:lin ang="5400000" scaled="0"/>
              </a:gradFill>
              <a:ln>
                <a:noFill/>
              </a:ln>
              <a:effectLst/>
            </c:spPr>
            <c:extLst>
              <c:ext xmlns:c16="http://schemas.microsoft.com/office/drawing/2014/chart" uri="{C3380CC4-5D6E-409C-BE32-E72D297353CC}">
                <c16:uniqueId val="{0000000B-05D8-4D4E-9445-2153392BEECF}"/>
              </c:ext>
            </c:extLst>
          </c:dPt>
          <c:dPt>
            <c:idx val="6"/>
            <c:bubble3D val="0"/>
            <c:spPr>
              <a:gradFill rotWithShape="1">
                <a:gsLst>
                  <a:gs pos="0">
                    <a:schemeClr val="accent1">
                      <a:lumMod val="60000"/>
                      <a:satMod val="103000"/>
                      <a:lumMod val="102000"/>
                      <a:tint val="94000"/>
                    </a:schemeClr>
                  </a:gs>
                  <a:gs pos="50000">
                    <a:schemeClr val="accent1">
                      <a:lumMod val="60000"/>
                      <a:satMod val="110000"/>
                      <a:lumMod val="100000"/>
                      <a:shade val="100000"/>
                    </a:schemeClr>
                  </a:gs>
                  <a:gs pos="100000">
                    <a:schemeClr val="accent1">
                      <a:lumMod val="60000"/>
                      <a:lumMod val="99000"/>
                      <a:satMod val="120000"/>
                      <a:shade val="78000"/>
                    </a:schemeClr>
                  </a:gs>
                </a:gsLst>
                <a:lin ang="5400000" scaled="0"/>
              </a:gradFill>
              <a:ln>
                <a:noFill/>
              </a:ln>
              <a:effectLst/>
            </c:spPr>
            <c:extLst>
              <c:ext xmlns:c16="http://schemas.microsoft.com/office/drawing/2014/chart" uri="{C3380CC4-5D6E-409C-BE32-E72D297353CC}">
                <c16:uniqueId val="{0000000D-05D8-4D4E-9445-2153392BEECF}"/>
              </c:ext>
            </c:extLst>
          </c:dPt>
          <c:dLbls>
            <c:spPr>
              <a:noFill/>
              <a:ln>
                <a:noFill/>
              </a:ln>
              <a:effectLst/>
            </c:spPr>
            <c:txPr>
              <a:bodyPr rot="0" spcFirstLastPara="1" vertOverflow="ellipsis" vert="horz" wrap="square" lIns="38100" tIns="19050" rIns="38100" bIns="19050" anchor="ctr" anchorCtr="1">
                <a:spAutoFit/>
              </a:bodyPr>
              <a:lstStyle/>
              <a:p>
                <a:pPr>
                  <a:defRPr sz="11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dLblPos val="inEnd"/>
            <c:showLegendKey val="0"/>
            <c:showVal val="0"/>
            <c:showCatName val="0"/>
            <c:showSerName val="0"/>
            <c:showPercent val="1"/>
            <c:showBubbleSize val="0"/>
            <c:showLeaderLines val="1"/>
            <c:leaderLines>
              <c:spPr>
                <a:ln w="9525">
                  <a:solidFill>
                    <a:schemeClr val="tx2">
                      <a:lumMod val="35000"/>
                      <a:lumOff val="65000"/>
                    </a:schemeClr>
                  </a:solidFill>
                </a:ln>
                <a:effectLst/>
              </c:spPr>
            </c:leaderLines>
            <c:extLst>
              <c:ext xmlns:c15="http://schemas.microsoft.com/office/drawing/2012/chart" uri="{CE6537A1-D6FC-4f65-9D91-7224C49458BB}"/>
            </c:extLst>
          </c:dLbls>
          <c:cat>
            <c:strRef>
              <c:f>Лист1!$A$2:$A$8</c:f>
              <c:strCache>
                <c:ptCount val="7"/>
                <c:pt idx="0">
                  <c:v>иски об оспаривании  постановлений  таможенных  органов  о  привлечении  лиц  к административной ответственности</c:v>
                </c:pt>
                <c:pt idx="1">
                  <c:v>иски об оспаривании таможенных органов по таможенной стоимости </c:v>
                </c:pt>
                <c:pt idx="2">
                  <c:v>иски об оспаривании таможенных органов о классификации товаров по ТН ВЭД ЕАЭС</c:v>
                </c:pt>
                <c:pt idx="3">
                  <c:v>иски о взыскании процентов, исчисленных на сумму излишне взысканных таможенных платежей</c:v>
                </c:pt>
                <c:pt idx="4">
                  <c:v>иски об  оспаривании  решений  таможенных  органов,  принятых  в  связи  с    совершением таможенных операций, проведением таможенного контроля</c:v>
                </c:pt>
                <c:pt idx="5">
                  <c:v>иски  о  возврате  (зачете)  излишне  уплаченных  (взысканных) таможенных платежей в связи с корректировкой таможенной стоимости товаров</c:v>
                </c:pt>
                <c:pt idx="6">
                  <c:v>иные категории</c:v>
                </c:pt>
              </c:strCache>
            </c:strRef>
          </c:cat>
          <c:val>
            <c:numRef>
              <c:f>Лист1!$B$2:$B$8</c:f>
              <c:numCache>
                <c:formatCode>General</c:formatCode>
                <c:ptCount val="7"/>
                <c:pt idx="0">
                  <c:v>48.2</c:v>
                </c:pt>
                <c:pt idx="1">
                  <c:v>20.6</c:v>
                </c:pt>
                <c:pt idx="2">
                  <c:v>6.6</c:v>
                </c:pt>
                <c:pt idx="3">
                  <c:v>2.5</c:v>
                </c:pt>
                <c:pt idx="4">
                  <c:v>2.5</c:v>
                </c:pt>
                <c:pt idx="5">
                  <c:v>2.2999999999999998</c:v>
                </c:pt>
                <c:pt idx="6">
                  <c:v>17.3</c:v>
                </c:pt>
              </c:numCache>
            </c:numRef>
          </c:val>
          <c:extLst>
            <c:ext xmlns:c16="http://schemas.microsoft.com/office/drawing/2014/chart" uri="{C3380CC4-5D6E-409C-BE32-E72D297353CC}">
              <c16:uniqueId val="{0000000E-05D8-4D4E-9445-2153392BEECF}"/>
            </c:ext>
          </c:extLst>
        </c:ser>
        <c:dLbls>
          <c:dLblPos val="inEnd"/>
          <c:showLegendKey val="0"/>
          <c:showVal val="0"/>
          <c:showCatName val="0"/>
          <c:showSerName val="0"/>
          <c:showPercent val="1"/>
          <c:showBubbleSize val="0"/>
          <c:showLeaderLines val="1"/>
        </c:dLbls>
        <c:firstSliceAng val="0"/>
      </c:pieChart>
      <c:spPr>
        <a:noFill/>
        <a:ln>
          <a:noFill/>
        </a:ln>
        <a:effectLst/>
      </c:spPr>
    </c:plotArea>
    <c:legend>
      <c:legendPos val="b"/>
      <c:layout>
        <c:manualLayout>
          <c:xMode val="edge"/>
          <c:yMode val="edge"/>
          <c:x val="4.9161653836332662E-2"/>
          <c:y val="0.60941712158184691"/>
          <c:w val="0.93103805997085676"/>
          <c:h val="0.34682817203760069"/>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2"/>
              </a:solidFill>
              <a:latin typeface="Times New Roman" panose="02020603050405020304" pitchFamily="18" charset="0"/>
              <a:ea typeface="+mn-ea"/>
              <a:cs typeface="Times New Roman" panose="02020603050405020304" pitchFamily="18" charset="0"/>
            </a:defRPr>
          </a:pPr>
          <a:endParaRPr lang="ru-RU"/>
        </a:p>
      </c:txPr>
    </c:legend>
    <c:plotVisOnly val="1"/>
    <c:dispBlanksAs val="gap"/>
    <c:showDLblsOverMax val="0"/>
  </c:chart>
  <c:spPr>
    <a:solidFill>
      <a:schemeClr val="bg1"/>
    </a:solidFill>
    <a:ln w="9525" cap="flat" cmpd="sng" algn="ctr">
      <a:solidFill>
        <a:schemeClr val="tx2">
          <a:lumMod val="15000"/>
          <a:lumOff val="85000"/>
        </a:schemeClr>
      </a:solidFill>
      <a:round/>
    </a:ln>
    <a:effectLst/>
  </c:spPr>
  <c:txPr>
    <a:bodyPr/>
    <a:lstStyle/>
    <a:p>
      <a:pPr>
        <a:defRPr>
          <a:latin typeface="Times New Roman" panose="02020603050405020304" pitchFamily="18" charset="0"/>
          <a:cs typeface="Times New Roman" panose="02020603050405020304" pitchFamily="18" charset="0"/>
        </a:defRPr>
      </a:pPr>
      <a:endParaRPr lang="ru-RU"/>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55">
  <cs:axisTitle>
    <cs:lnRef idx="0"/>
    <cs:fillRef idx="0"/>
    <cs:effectRef idx="0"/>
    <cs:fontRef idx="minor">
      <a:schemeClr val="tx2"/>
    </cs:fontRef>
    <cs:defRPr sz="900" b="1" kern="1200"/>
  </cs:axisTitle>
  <cs:categoryAxis>
    <cs:lnRef idx="0"/>
    <cs:fillRef idx="0"/>
    <cs:effectRef idx="0"/>
    <cs:fontRef idx="minor">
      <a:schemeClr val="tx2"/>
    </cs:fontRef>
    <cs:spPr>
      <a:ln w="9525" cap="flat" cmpd="sng" algn="ctr">
        <a:solidFill>
          <a:schemeClr val="tx2">
            <a:lumMod val="15000"/>
            <a:lumOff val="85000"/>
          </a:schemeClr>
        </a:solidFill>
        <a:round/>
      </a:ln>
    </cs:spPr>
    <cs:defRPr sz="900" kern="1200"/>
  </cs:categoryAxis>
  <cs:chartArea mods="allowNoFillOverride allowNoLineOverride">
    <cs:lnRef idx="0"/>
    <cs:fillRef idx="0"/>
    <cs:effectRef idx="0"/>
    <cs:fontRef idx="minor">
      <a:schemeClr val="tx2"/>
    </cs:fontRef>
    <cs:spPr>
      <a:solidFill>
        <a:schemeClr val="bg1"/>
      </a:solidFill>
      <a:ln w="9525" cap="flat" cmpd="sng" algn="ctr">
        <a:solidFill>
          <a:schemeClr val="tx2">
            <a:lumMod val="15000"/>
            <a:lumOff val="85000"/>
          </a:schemeClr>
        </a:solidFill>
        <a:round/>
      </a:ln>
    </cs:spPr>
    <cs:defRPr sz="900" kern="1200"/>
  </cs:chartArea>
  <cs:dataLabel>
    <cs:lnRef idx="0"/>
    <cs:fillRef idx="0"/>
    <cs:effectRef idx="0"/>
    <cs:fontRef idx="minor">
      <a:schemeClr val="tx2"/>
    </cs:fontRef>
    <cs:defRPr sz="900" kern="1200"/>
  </cs:dataLabel>
  <cs:dataLabelCallout>
    <cs:lnRef idx="0"/>
    <cs:fillRef idx="0"/>
    <cs:effectRef idx="0"/>
    <cs:fontRef idx="minor">
      <a:schemeClr val="dk2">
        <a:lumMod val="7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3">
      <cs:styleClr val="auto"/>
    </cs:fillRef>
    <cs:effectRef idx="2"/>
    <cs:fontRef idx="minor">
      <a:schemeClr val="tx2"/>
    </cs:fontRef>
  </cs:dataPoint>
  <cs:dataPoint3D>
    <cs:lnRef idx="0"/>
    <cs:fillRef idx="3">
      <cs:styleClr val="auto"/>
    </cs:fillRef>
    <cs:effectRef idx="2"/>
    <cs:fontRef idx="minor">
      <a:schemeClr val="tx2"/>
    </cs:fontRef>
  </cs:dataPoint3D>
  <cs:dataPointLine>
    <cs:lnRef idx="0">
      <cs:styleClr val="auto"/>
    </cs:lnRef>
    <cs:fillRef idx="3"/>
    <cs:effectRef idx="2"/>
    <cs:fontRef idx="minor">
      <a:schemeClr val="tx2"/>
    </cs:fontRef>
    <cs:spPr>
      <a:ln w="31750" cap="rnd">
        <a:solidFill>
          <a:schemeClr val="phClr"/>
        </a:solidFill>
        <a:round/>
      </a:ln>
    </cs:spPr>
  </cs:dataPointLine>
  <cs:dataPointMarker>
    <cs:lnRef idx="0"/>
    <cs:fillRef idx="3">
      <cs:styleClr val="auto"/>
    </cs:fillRef>
    <cs:effectRef idx="2"/>
    <cs:fontRef idx="minor">
      <a:schemeClr val="tx2"/>
    </cs:fontRef>
    <cs:spPr>
      <a:ln w="12700">
        <a:solidFill>
          <a:schemeClr val="lt2"/>
        </a:solidFill>
        <a:round/>
      </a:ln>
    </cs:spPr>
  </cs:dataPointMarker>
  <cs:dataPointMarkerLayout symbol="circle" size="6"/>
  <cs:dataPointWireframe>
    <cs:lnRef idx="0">
      <cs:styleClr val="auto"/>
    </cs:lnRef>
    <cs:fillRef idx="3"/>
    <cs:effectRef idx="2"/>
    <cs:fontRef idx="minor">
      <a:schemeClr val="tx2"/>
    </cs:fontRef>
    <cs:spPr>
      <a:ln w="9525" cap="rnd">
        <a:solidFill>
          <a:schemeClr val="phClr"/>
        </a:solidFill>
        <a:round/>
      </a:ln>
    </cs:spPr>
  </cs:dataPointWireframe>
  <cs:dataTable>
    <cs:lnRef idx="0"/>
    <cs:fillRef idx="0"/>
    <cs:effectRef idx="0"/>
    <cs:fontRef idx="minor">
      <a:schemeClr val="tx2"/>
    </cs:fontRef>
    <cs:spPr>
      <a:ln w="9525">
        <a:solidFill>
          <a:schemeClr val="tx2">
            <a:lumMod val="15000"/>
            <a:lumOff val="85000"/>
          </a:schemeClr>
        </a:solidFill>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2"/>
    </cs:fontRef>
    <cs:spPr>
      <a:ln w="9525">
        <a:solidFill>
          <a:schemeClr val="tx2">
            <a:lumMod val="60000"/>
            <a:lumOff val="40000"/>
          </a:schemeClr>
        </a:solidFill>
        <a:prstDash val="dash"/>
      </a:ln>
    </cs:spPr>
  </cs:dropLine>
  <cs:errorBar>
    <cs:lnRef idx="0"/>
    <cs:fillRef idx="0"/>
    <cs:effectRef idx="0"/>
    <cs:fontRef idx="minor">
      <a:schemeClr val="tx2"/>
    </cs:fontRef>
    <cs:spPr>
      <a:ln w="9525">
        <a:solidFill>
          <a:schemeClr val="tx2">
            <a:lumMod val="75000"/>
          </a:schemeClr>
        </a:solidFill>
        <a:round/>
      </a:ln>
    </cs:spPr>
  </cs:errorBar>
  <cs:floor>
    <cs:lnRef idx="0"/>
    <cs:fillRef idx="0"/>
    <cs:effectRef idx="0"/>
    <cs:fontRef idx="minor">
      <a:schemeClr val="tx2"/>
    </cs:fontRef>
  </cs:floor>
  <cs:gridlineMajor>
    <cs:lnRef idx="0"/>
    <cs:fillRef idx="0"/>
    <cs:effectRef idx="0"/>
    <cs:fontRef idx="minor">
      <a:schemeClr val="tx2"/>
    </cs:fontRef>
    <cs:spPr>
      <a:ln w="9525" cap="flat" cmpd="sng" algn="ctr">
        <a:solidFill>
          <a:schemeClr val="tx2">
            <a:lumMod val="15000"/>
            <a:lumOff val="85000"/>
          </a:schemeClr>
        </a:solidFill>
        <a:round/>
      </a:ln>
    </cs:spPr>
  </cs:gridlineMajor>
  <cs:gridlineMinor>
    <cs:lnRef idx="0"/>
    <cs:fillRef idx="0"/>
    <cs:effectRef idx="0"/>
    <cs:fontRef idx="minor">
      <a:schemeClr val="tx2"/>
    </cs:fontRef>
    <cs:spPr>
      <a:ln>
        <a:solidFill>
          <a:schemeClr val="tx2">
            <a:lumMod val="5000"/>
            <a:lumOff val="95000"/>
          </a:schemeClr>
        </a:solidFill>
      </a:ln>
    </cs:spPr>
  </cs:gridlineMinor>
  <cs:hiLoLine>
    <cs:lnRef idx="0"/>
    <cs:fillRef idx="0"/>
    <cs:effectRef idx="0"/>
    <cs:fontRef idx="minor">
      <a:schemeClr val="tx2"/>
    </cs:fontRef>
    <cs:spPr>
      <a:ln w="9525">
        <a:solidFill>
          <a:schemeClr val="tx2">
            <a:lumMod val="60000"/>
            <a:lumOff val="40000"/>
          </a:schemeClr>
        </a:solidFill>
        <a:prstDash val="dash"/>
      </a:ln>
    </cs:spPr>
  </cs:hiLoLine>
  <cs:leaderLine>
    <cs:lnRef idx="0"/>
    <cs:fillRef idx="0"/>
    <cs:effectRef idx="0"/>
    <cs:fontRef idx="minor">
      <a:schemeClr val="tx2"/>
    </cs:fontRef>
    <cs:spPr>
      <a:ln w="9525">
        <a:solidFill>
          <a:schemeClr val="tx2">
            <a:lumMod val="35000"/>
            <a:lumOff val="65000"/>
          </a:schemeClr>
        </a:solidFill>
      </a:ln>
    </cs:spPr>
  </cs:leaderLine>
  <cs:legend>
    <cs:lnRef idx="0"/>
    <cs:fillRef idx="0"/>
    <cs:effectRef idx="0"/>
    <cs:fontRef idx="minor">
      <a:schemeClr val="tx2"/>
    </cs:fontRef>
    <cs:defRPr sz="900" kern="1200"/>
  </cs:legend>
  <cs:plotArea>
    <cs:lnRef idx="0"/>
    <cs:fillRef idx="0"/>
    <cs:effectRef idx="0"/>
    <cs:fontRef idx="minor">
      <a:schemeClr val="tx2"/>
    </cs:fontRef>
  </cs:plotArea>
  <cs:plotArea3D>
    <cs:lnRef idx="0"/>
    <cs:fillRef idx="0"/>
    <cs:effectRef idx="0"/>
    <cs:fontRef idx="minor">
      <a:schemeClr val="tx2"/>
    </cs:fontRef>
  </cs:plotArea3D>
  <cs:seriesAxis>
    <cs:lnRef idx="0"/>
    <cs:fillRef idx="0"/>
    <cs:effectRef idx="0"/>
    <cs:fontRef idx="minor">
      <a:schemeClr val="tx2"/>
    </cs:fontRef>
    <cs:spPr>
      <a:ln w="9525" cap="flat" cmpd="sng" algn="ctr">
        <a:solidFill>
          <a:schemeClr val="tx2">
            <a:lumMod val="15000"/>
            <a:lumOff val="85000"/>
          </a:schemeClr>
        </a:solidFill>
        <a:round/>
      </a:ln>
    </cs:spPr>
    <cs:defRPr sz="900" kern="1200"/>
  </cs:seriesAxis>
  <cs:seriesLine>
    <cs:lnRef idx="0"/>
    <cs:fillRef idx="0"/>
    <cs:effectRef idx="0"/>
    <cs:fontRef idx="minor">
      <a:schemeClr val="tx2"/>
    </cs:fontRef>
    <cs:spPr>
      <a:ln w="9525">
        <a:solidFill>
          <a:schemeClr val="tx2">
            <a:lumMod val="60000"/>
            <a:lumOff val="40000"/>
          </a:schemeClr>
        </a:solidFill>
        <a:prstDash val="dash"/>
      </a:ln>
    </cs:spPr>
  </cs:seriesLine>
  <cs:title>
    <cs:lnRef idx="0"/>
    <cs:fillRef idx="0"/>
    <cs:effectRef idx="0"/>
    <cs:fontRef idx="minor">
      <a:schemeClr val="tx2"/>
    </cs:fontRef>
    <cs:defRPr sz="1600" b="1" kern="1200"/>
  </cs:title>
  <cs:trendline>
    <cs:lnRef idx="0">
      <cs:styleClr val="auto"/>
    </cs:lnRef>
    <cs:fillRef idx="0"/>
    <cs:effectRef idx="0"/>
    <cs:fontRef idx="minor">
      <a:schemeClr val="tx2"/>
    </cs:fontRef>
    <cs:spPr>
      <a:ln w="19050" cap="rnd">
        <a:solidFill>
          <a:schemeClr val="phClr"/>
        </a:solidFill>
        <a:prstDash val="sysDash"/>
      </a:ln>
    </cs:spPr>
  </cs:trendline>
  <cs:trendlineLabel>
    <cs:lnRef idx="0"/>
    <cs:fillRef idx="0"/>
    <cs:effectRef idx="0"/>
    <cs:fontRef idx="minor">
      <a:schemeClr val="tx2"/>
    </cs:fontRef>
    <cs:defRPr sz="900" kern="1200"/>
  </cs:trendlineLabel>
  <cs:upBar>
    <cs:lnRef idx="0"/>
    <cs:fillRef idx="0"/>
    <cs:effectRef idx="0"/>
    <cs:fontRef idx="minor">
      <a:schemeClr val="tx2"/>
    </cs:fontRef>
    <cs:spPr>
      <a:solidFill>
        <a:schemeClr val="lt1"/>
      </a:solidFill>
      <a:ln w="9525">
        <a:solidFill>
          <a:schemeClr val="tx1">
            <a:lumMod val="15000"/>
            <a:lumOff val="85000"/>
          </a:schemeClr>
        </a:solidFill>
      </a:ln>
    </cs:spPr>
  </cs:upBar>
  <cs:valueAxis>
    <cs:lnRef idx="0"/>
    <cs:fillRef idx="0"/>
    <cs:effectRef idx="0"/>
    <cs:fontRef idx="minor">
      <a:schemeClr val="tx2"/>
    </cs:fontRef>
    <cs:defRPr sz="900" kern="1200"/>
  </cs:valueAxis>
  <cs:wall>
    <cs:lnRef idx="0"/>
    <cs:fillRef idx="0"/>
    <cs:effectRef idx="0"/>
    <cs:fontRef idx="minor">
      <a:schemeClr val="tx2"/>
    </cs:fontRef>
  </cs:wall>
</cs:chartStyle>
</file>

<file path=word/diagrams/colors1.xml><?xml version="1.0" encoding="utf-8"?>
<dgm:colorsDef xmlns:dgm="http://schemas.openxmlformats.org/drawingml/2006/diagram" xmlns:a="http://schemas.openxmlformats.org/drawingml/2006/main" uniqueId="urn:microsoft.com/office/officeart/2005/8/colors/accent3_1">
  <dgm:title val=""/>
  <dgm:desc val=""/>
  <dgm:catLst>
    <dgm:cat type="accent3" pri="11100"/>
  </dgm:catLst>
  <dgm:styleLbl name="node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accent3">
        <a:shade val="80000"/>
      </a:schemeClr>
    </dgm:linClrLst>
    <dgm:effectClrLst/>
    <dgm:txLinClrLst/>
    <dgm:txFillClrLst/>
    <dgm:txEffectClrLst/>
  </dgm:styleLbl>
  <dgm:styleLbl name="node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f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align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bgImgPlace1">
    <dgm:fillClrLst meth="repeat">
      <a:schemeClr val="accent3">
        <a:tint val="40000"/>
      </a:schemeClr>
    </dgm:fillClrLst>
    <dgm:linClrLst meth="repeat">
      <a:schemeClr val="accent3">
        <a:shade val="80000"/>
      </a:schemeClr>
    </dgm:linClrLst>
    <dgm:effectClrLst/>
    <dgm:txLinClrLst/>
    <dgm:txFillClrLst meth="repeat">
      <a:schemeClr val="lt1"/>
    </dgm:txFillClrLst>
    <dgm:txEffectClrLst/>
  </dgm:styleLbl>
  <dgm:styleLbl name="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f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bgSibTrans2D1">
    <dgm:fillClrLst meth="repeat">
      <a:schemeClr val="accent3">
        <a:tint val="60000"/>
      </a:schemeClr>
    </dgm:fillClrLst>
    <dgm:linClrLst meth="repeat">
      <a:schemeClr val="accent3">
        <a:tint val="60000"/>
      </a:schemeClr>
    </dgm:linClrLst>
    <dgm:effectClrLst/>
    <dgm:txLinClrLst/>
    <dgm:txFillClrLst meth="repeat">
      <a:schemeClr val="dk1"/>
    </dgm:txFillClrLst>
    <dgm:txEffectClrLst/>
  </dgm:styleLbl>
  <dgm:styleLbl name="sibTrans1D1">
    <dgm:fillClrLst meth="repeat">
      <a:schemeClr val="accent3"/>
    </dgm:fillClrLst>
    <dgm:linClrLst meth="repeat">
      <a:schemeClr val="accent3"/>
    </dgm:linClrLst>
    <dgm:effectClrLst/>
    <dgm:txLinClrLst/>
    <dgm:txFillClrLst meth="repeat">
      <a:schemeClr val="tx1"/>
    </dgm:txFillClrLst>
    <dgm:txEffectClrLst/>
  </dgm:styleLbl>
  <dgm:styleLbl name="callout">
    <dgm:fillClrLst meth="repeat">
      <a:schemeClr val="accent3"/>
    </dgm:fillClrLst>
    <dgm:linClrLst meth="repeat">
      <a:schemeClr val="accent3"/>
    </dgm:linClrLst>
    <dgm:effectClrLst/>
    <dgm:txLinClrLst/>
    <dgm:txFillClrLst meth="repeat">
      <a:schemeClr val="tx1"/>
    </dgm:txFillClrLst>
    <dgm:txEffectClrLst/>
  </dgm:styleLbl>
  <dgm:styleLbl name="asst0">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accent3">
        <a:shade val="80000"/>
      </a:schemeClr>
    </dgm:linClrLst>
    <dgm:effectClrLst/>
    <dgm:txLinClrLst/>
    <dgm:txFillClrLst meth="repeat">
      <a:schemeClr val="dk1"/>
    </dgm:txFillClrLst>
    <dgm:txEffectClrLst/>
  </dgm:styleLbl>
  <dgm:styleLbl name="parChTrans2D1">
    <dgm:fillClrLst meth="repeat">
      <a:schemeClr val="accent3">
        <a:tint val="60000"/>
      </a:schemeClr>
    </dgm:fillClrLst>
    <dgm:linClrLst meth="repeat">
      <a:schemeClr val="accent3">
        <a:tint val="60000"/>
      </a:schemeClr>
    </dgm:linClrLst>
    <dgm:effectClrLst/>
    <dgm:txLinClrLst/>
    <dgm:txFillClrLst/>
    <dgm:txEffectClrLst/>
  </dgm:styleLbl>
  <dgm:styleLbl name="parChTrans2D2">
    <dgm:fillClrLst meth="repeat">
      <a:schemeClr val="accent3"/>
    </dgm:fillClrLst>
    <dgm:linClrLst meth="repeat">
      <a:schemeClr val="accent3"/>
    </dgm:linClrLst>
    <dgm:effectClrLst/>
    <dgm:txLinClrLst/>
    <dgm:txFillClrLst/>
    <dgm:txEffectClrLst/>
  </dgm:styleLbl>
  <dgm:styleLbl name="parChTrans2D3">
    <dgm:fillClrLst meth="repeat">
      <a:schemeClr val="accent3"/>
    </dgm:fillClrLst>
    <dgm:linClrLst meth="repeat">
      <a:schemeClr val="accent3"/>
    </dgm:linClrLst>
    <dgm:effectClrLst/>
    <dgm:txLinClrLst/>
    <dgm:txFillClrLst/>
    <dgm:txEffectClrLst/>
  </dgm:styleLbl>
  <dgm:styleLbl name="parChTrans2D4">
    <dgm:fillClrLst meth="repeat">
      <a:schemeClr val="accent3"/>
    </dgm:fillClrLst>
    <dgm:linClrLst meth="repeat">
      <a:schemeClr val="accent3"/>
    </dgm:linClrLst>
    <dgm:effectClrLst/>
    <dgm:txLinClrLst/>
    <dgm:txFillClrLst meth="repeat">
      <a:schemeClr val="lt1"/>
    </dgm:txFillClrLst>
    <dgm:txEffectClrLst/>
  </dgm:styleLbl>
  <dgm:styleLbl name="parChTrans1D1">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2">
    <dgm:fillClrLst meth="repeat">
      <a:schemeClr val="accent3"/>
    </dgm:fillClrLst>
    <dgm:linClrLst meth="repeat">
      <a:schemeClr val="accent3">
        <a:shade val="60000"/>
      </a:schemeClr>
    </dgm:linClrLst>
    <dgm:effectClrLst/>
    <dgm:txLinClrLst/>
    <dgm:txFillClrLst meth="repeat">
      <a:schemeClr val="tx1"/>
    </dgm:txFillClrLst>
    <dgm:txEffectClrLst/>
  </dgm:styleLbl>
  <dgm:styleLbl name="parChTrans1D3">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parChTrans1D4">
    <dgm:fillClrLst meth="repeat">
      <a:schemeClr val="accent3"/>
    </dgm:fillClrLst>
    <dgm:linClrLst meth="repeat">
      <a:schemeClr val="accent3">
        <a:shade val="80000"/>
      </a:schemeClr>
    </dgm:linClrLst>
    <dgm:effectClrLst/>
    <dgm:txLinClrLst/>
    <dgm:txFillClrLst meth="repeat">
      <a:schemeClr val="tx1"/>
    </dgm:txFillClrLst>
    <dgm:txEffectClrLst/>
  </dgm:styleLbl>
  <dgm:styleLbl name="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conF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align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trAlignAcc1">
    <dgm:fillClrLst meth="repeat">
      <a:schemeClr val="accent3">
        <a:alpha val="40000"/>
        <a:tint val="40000"/>
      </a:schemeClr>
    </dgm:fillClrLst>
    <dgm:linClrLst meth="repeat">
      <a:schemeClr val="accent3"/>
    </dgm:linClrLst>
    <dgm:effectClrLst/>
    <dgm:txLinClrLst/>
    <dgm:txFillClrLst meth="repeat">
      <a:schemeClr val="dk1"/>
    </dgm:txFillClrLst>
    <dgm:txEffectClrLst/>
  </dgm:styleLbl>
  <dgm:styleLbl name="bgAcc1">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solidFgAcc1">
    <dgm:fillClrLst meth="repeat">
      <a:schemeClr val="lt1"/>
    </dgm:fillClrLst>
    <dgm:linClrLst meth="repeat">
      <a:schemeClr val="accent3"/>
    </dgm:linClrLst>
    <dgm:effectClrLst/>
    <dgm:txLinClrLst/>
    <dgm:txFillClrLst meth="repeat">
      <a:schemeClr val="dk1"/>
    </dgm:txFillClrLst>
    <dgm:txEffectClrLst/>
  </dgm:styleLbl>
  <dgm:styleLbl name="solidAlignAcc1">
    <dgm:fillClrLst meth="repeat">
      <a:schemeClr val="lt1"/>
    </dgm:fillClrLst>
    <dgm:linClrLst meth="repeat">
      <a:schemeClr val="accent3"/>
    </dgm:linClrLst>
    <dgm:effectClrLst/>
    <dgm:txLinClrLst/>
    <dgm:txFillClrLst meth="repeat">
      <a:schemeClr val="dk1"/>
    </dgm:txFillClrLst>
    <dgm:txEffectClrLst/>
  </dgm:styleLbl>
  <dgm:styleLbl name="solidBgAcc1">
    <dgm:fillClrLst meth="repeat">
      <a:schemeClr val="lt1"/>
    </dgm:fillClrLst>
    <dgm:linClrLst meth="repeat">
      <a:schemeClr val="accent3"/>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accent3">
        <a:alpha val="90000"/>
      </a:schemeClr>
    </dgm:linClrLst>
    <dgm:effectClrLst/>
    <dgm:txLinClrLst/>
    <dgm:txFillClrLst meth="repeat">
      <a:schemeClr val="dk1"/>
    </dgm:txFillClrLst>
    <dgm:txEffectClrLst/>
  </dgm:styleLbl>
  <dgm:styleLbl name="fgAcc0">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2">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3">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fgAcc4">
    <dgm:fillClrLst meth="repeat">
      <a:schemeClr val="accent3">
        <a:alpha val="90000"/>
        <a:tint val="40000"/>
      </a:schemeClr>
    </dgm:fillClrLst>
    <dgm:linClrLst meth="repeat">
      <a:schemeClr val="accent3"/>
    </dgm:linClrLst>
    <dgm:effectClrLst/>
    <dgm:txLinClrLst/>
    <dgm:txFillClrLst meth="repeat">
      <a:schemeClr val="dk1"/>
    </dgm:txFillClrLst>
    <dgm:txEffectClrLst/>
  </dgm:styleLbl>
  <dgm:styleLbl name="bgShp">
    <dgm:fillClrLst meth="repeat">
      <a:schemeClr val="accent3">
        <a:tint val="40000"/>
      </a:schemeClr>
    </dgm:fillClrLst>
    <dgm:linClrLst meth="repeat">
      <a:schemeClr val="accent3"/>
    </dgm:linClrLst>
    <dgm:effectClrLst/>
    <dgm:txLinClrLst/>
    <dgm:txFillClrLst meth="repeat">
      <a:schemeClr val="dk1"/>
    </dgm:txFillClrLst>
    <dgm:txEffectClrLst/>
  </dgm:styleLbl>
  <dgm:styleLbl name="dkBgShp">
    <dgm:fillClrLst meth="repeat">
      <a:schemeClr val="accent3">
        <a:shade val="80000"/>
      </a:schemeClr>
    </dgm:fillClrLst>
    <dgm:linClrLst meth="repeat">
      <a:schemeClr val="accent3"/>
    </dgm:linClrLst>
    <dgm:effectClrLst/>
    <dgm:txLinClrLst/>
    <dgm:txFillClrLst meth="repeat">
      <a:schemeClr val="lt1"/>
    </dgm:txFillClrLst>
    <dgm:txEffectClrLst/>
  </dgm:styleLbl>
  <dgm:styleLbl name="trBgShp">
    <dgm:fillClrLst meth="repeat">
      <a:schemeClr val="accent3">
        <a:tint val="50000"/>
        <a:alpha val="40000"/>
      </a:schemeClr>
    </dgm:fillClrLst>
    <dgm:linClrLst meth="repeat">
      <a:schemeClr val="accent3"/>
    </dgm:linClrLst>
    <dgm:effectClrLst/>
    <dgm:txLinClrLst/>
    <dgm:txFillClrLst meth="repeat">
      <a:schemeClr val="lt1"/>
    </dgm:txFillClrLst>
    <dgm:txEffectClrLst/>
  </dgm:styleLbl>
  <dgm:styleLbl name="fgShp">
    <dgm:fillClrLst meth="repeat">
      <a:schemeClr val="accent3">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4.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5.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6.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7.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75AB4186-0AC2-4909-B795-56FCD5CD8E5B}" type="doc">
      <dgm:prSet loTypeId="urn:microsoft.com/office/officeart/2005/8/layout/orgChart1" loCatId="hierarchy" qsTypeId="urn:microsoft.com/office/officeart/2005/8/quickstyle/simple1" qsCatId="simple" csTypeId="urn:microsoft.com/office/officeart/2005/8/colors/accent3_1" csCatId="accent3" phldr="1"/>
      <dgm:spPr/>
      <dgm:t>
        <a:bodyPr/>
        <a:lstStyle/>
        <a:p>
          <a:endParaRPr lang="ru-RU"/>
        </a:p>
      </dgm:t>
    </dgm:pt>
    <dgm:pt modelId="{122A0F72-1D57-441D-99C3-B0F9F003EC94}">
      <dgm:prSet phldrT="[Текст]" custT="1">
        <dgm:style>
          <a:lnRef idx="2">
            <a:schemeClr val="dk1"/>
          </a:lnRef>
          <a:fillRef idx="1">
            <a:schemeClr val="lt1"/>
          </a:fillRef>
          <a:effectRef idx="0">
            <a:schemeClr val="dk1"/>
          </a:effectRef>
          <a:fontRef idx="minor">
            <a:schemeClr val="dk1"/>
          </a:fontRef>
        </dgm:style>
      </dgm:prSet>
      <dgm:spPr>
        <a:xfrm>
          <a:off x="1910227" y="892"/>
          <a:ext cx="1665944" cy="832972"/>
        </a:xfrm>
        <a:prstGeom prst="rect">
          <a:avLst/>
        </a:prstGeom>
        <a:solidFill>
          <a:sysClr val="window" lastClr="FFFFFF"/>
        </a:solidFill>
        <a:ln w="12700" cap="flat" cmpd="sng" algn="ctr">
          <a:solidFill>
            <a:sysClr val="windowText" lastClr="000000"/>
          </a:solidFill>
          <a:prstDash val="solid"/>
          <a:miter lim="800000"/>
        </a:ln>
        <a:effectLst/>
      </dgm:spPr>
      <dgm:t>
        <a:bodyPr/>
        <a:lstStyle/>
        <a:p>
          <a:pPr algn="ctr">
            <a:lnSpc>
              <a:spcPct val="100000"/>
            </a:lnSpc>
            <a:spcBef>
              <a:spcPts val="0"/>
            </a:spcBef>
            <a:spcAft>
              <a:spcPts val="0"/>
            </a:spcAft>
            <a:buNone/>
          </a:pPr>
          <a:r>
            <a:rPr lang="ru-RU" sz="14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Функции таможенной стоимости </a:t>
          </a:r>
        </a:p>
      </dgm:t>
    </dgm:pt>
    <dgm:pt modelId="{BE9C3A0D-BD63-4B63-9A9B-D1916B113234}" type="parTrans" cxnId="{8D438D74-A427-40C0-B4D8-9FAC83DC4BA9}">
      <dgm:prSet/>
      <dgm:spPr/>
      <dgm:t>
        <a:bodyPr/>
        <a:lstStyle/>
        <a:p>
          <a:pPr algn="ctr">
            <a:lnSpc>
              <a:spcPct val="100000"/>
            </a:lnSpc>
            <a:spcBef>
              <a:spcPts val="0"/>
            </a:spcBef>
            <a:spcAft>
              <a:spcPts val="0"/>
            </a:spcAft>
          </a:pPr>
          <a:endParaRPr lang="ru-RU"/>
        </a:p>
      </dgm:t>
    </dgm:pt>
    <dgm:pt modelId="{8DAA45D7-8F85-463C-9067-9F26DE40437F}" type="sibTrans" cxnId="{8D438D74-A427-40C0-B4D8-9FAC83DC4BA9}">
      <dgm:prSet/>
      <dgm:spPr/>
      <dgm:t>
        <a:bodyPr/>
        <a:lstStyle/>
        <a:p>
          <a:pPr algn="ctr">
            <a:lnSpc>
              <a:spcPct val="100000"/>
            </a:lnSpc>
            <a:spcBef>
              <a:spcPts val="0"/>
            </a:spcBef>
            <a:spcAft>
              <a:spcPts val="0"/>
            </a:spcAft>
          </a:pPr>
          <a:endParaRPr lang="ru-RU"/>
        </a:p>
      </dgm:t>
    </dgm:pt>
    <dgm:pt modelId="{C53B8400-19C3-439C-867B-A2834E2E4D46}" type="asst">
      <dgm:prSet phldrT="[Текст]">
        <dgm:style>
          <a:lnRef idx="2">
            <a:schemeClr val="dk1"/>
          </a:lnRef>
          <a:fillRef idx="1">
            <a:schemeClr val="lt1"/>
          </a:fillRef>
          <a:effectRef idx="0">
            <a:schemeClr val="dk1"/>
          </a:effectRef>
          <a:fontRef idx="minor">
            <a:schemeClr val="dk1"/>
          </a:fontRef>
        </dgm:style>
      </dgm:prSet>
      <dgm:spPr>
        <a:xfrm>
          <a:off x="902330" y="1183713"/>
          <a:ext cx="1665944" cy="832972"/>
        </a:xfrm>
        <a:prstGeom prst="rect">
          <a:avLst/>
        </a:prstGeom>
        <a:solidFill>
          <a:sysClr val="window" lastClr="FFFFFF"/>
        </a:solidFill>
        <a:ln w="12700" cap="flat" cmpd="sng" algn="ctr">
          <a:solidFill>
            <a:sysClr val="windowText" lastClr="000000"/>
          </a:solidFill>
          <a:prstDash val="solid"/>
          <a:miter lim="800000"/>
        </a:ln>
        <a:effectLst/>
      </dgm:spPr>
      <dgm:t>
        <a:bodyPr/>
        <a:lstStyle/>
        <a:p>
          <a:pPr algn="ctr">
            <a:lnSpc>
              <a:spcPct val="100000"/>
            </a:lnSpc>
            <a:spcBef>
              <a:spcPts val="0"/>
            </a:spcBef>
            <a:spcAft>
              <a:spcPts val="0"/>
            </a:spcAft>
            <a:buNone/>
          </a:pPr>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Обеспечение равных конкурентных условий для участников ВЭД на внутреннем рынке страны импорта</a:t>
          </a:r>
        </a:p>
      </dgm:t>
    </dgm:pt>
    <dgm:pt modelId="{D2957704-8C2C-4EE9-8A6B-29CC41CE9F49}" type="parTrans" cxnId="{18AC8C86-31E0-475A-A72D-CA19937D0910}">
      <dgm:prSet/>
      <dgm:spPr>
        <a:xfrm>
          <a:off x="2568275" y="833865"/>
          <a:ext cx="174924" cy="766334"/>
        </a:xfrm>
        <a:custGeom>
          <a:avLst/>
          <a:gdLst/>
          <a:ahLst/>
          <a:cxnLst/>
          <a:rect l="0" t="0" r="0" b="0"/>
          <a:pathLst>
            <a:path>
              <a:moveTo>
                <a:pt x="174924" y="0"/>
              </a:moveTo>
              <a:lnTo>
                <a:pt x="174924" y="766334"/>
              </a:lnTo>
              <a:lnTo>
                <a:pt x="0" y="766334"/>
              </a:lnTo>
            </a:path>
          </a:pathLst>
        </a:custGeom>
        <a:noFill/>
        <a:ln w="12700" cap="flat" cmpd="sng" algn="ctr">
          <a:solidFill>
            <a:srgbClr val="A5A5A5">
              <a:shade val="60000"/>
              <a:hueOff val="0"/>
              <a:satOff val="0"/>
              <a:lumOff val="0"/>
              <a:alphaOff val="0"/>
            </a:srgbClr>
          </a:solidFill>
          <a:prstDash val="solid"/>
          <a:miter lim="800000"/>
        </a:ln>
        <a:effectLst/>
      </dgm:spPr>
      <dgm:t>
        <a:bodyPr/>
        <a:lstStyle/>
        <a:p>
          <a:pPr algn="ctr">
            <a:lnSpc>
              <a:spcPct val="100000"/>
            </a:lnSpc>
            <a:spcBef>
              <a:spcPts val="0"/>
            </a:spcBef>
            <a:spcAft>
              <a:spcPts val="0"/>
            </a:spcAft>
          </a:pPr>
          <a:endParaRPr lang="ru-RU"/>
        </a:p>
      </dgm:t>
    </dgm:pt>
    <dgm:pt modelId="{C1198483-C714-4B7E-BB00-4AF2B976FB58}" type="sibTrans" cxnId="{18AC8C86-31E0-475A-A72D-CA19937D0910}">
      <dgm:prSet/>
      <dgm:spPr/>
      <dgm:t>
        <a:bodyPr/>
        <a:lstStyle/>
        <a:p>
          <a:pPr algn="ctr">
            <a:lnSpc>
              <a:spcPct val="100000"/>
            </a:lnSpc>
            <a:spcBef>
              <a:spcPts val="0"/>
            </a:spcBef>
            <a:spcAft>
              <a:spcPts val="0"/>
            </a:spcAft>
          </a:pPr>
          <a:endParaRPr lang="ru-RU"/>
        </a:p>
      </dgm:t>
    </dgm:pt>
    <dgm:pt modelId="{A2ED2D6F-F6BC-4D01-BF1E-A676D0955CA9}">
      <dgm:prSet phldrT="[Текст]">
        <dgm:style>
          <a:lnRef idx="2">
            <a:schemeClr val="dk1"/>
          </a:lnRef>
          <a:fillRef idx="1">
            <a:schemeClr val="lt1"/>
          </a:fillRef>
          <a:effectRef idx="0">
            <a:schemeClr val="dk1"/>
          </a:effectRef>
          <a:fontRef idx="minor">
            <a:schemeClr val="dk1"/>
          </a:fontRef>
        </dgm:style>
      </dgm:prSet>
      <dgm:spPr>
        <a:xfrm>
          <a:off x="902330" y="2366534"/>
          <a:ext cx="1665944" cy="832972"/>
        </a:xfrm>
        <a:prstGeom prst="rect">
          <a:avLst/>
        </a:prstGeom>
        <a:solidFill>
          <a:sysClr val="window" lastClr="FFFFFF"/>
        </a:solidFill>
        <a:ln w="12700" cap="flat" cmpd="sng" algn="ctr">
          <a:solidFill>
            <a:sysClr val="windowText" lastClr="000000"/>
          </a:solidFill>
          <a:prstDash val="solid"/>
          <a:miter lim="800000"/>
        </a:ln>
        <a:effectLst/>
      </dgm:spPr>
      <dgm:t>
        <a:bodyPr/>
        <a:lstStyle/>
        <a:p>
          <a:pPr algn="ctr">
            <a:lnSpc>
              <a:spcPct val="100000"/>
            </a:lnSpc>
            <a:spcBef>
              <a:spcPts val="0"/>
            </a:spcBef>
            <a:spcAft>
              <a:spcPts val="0"/>
            </a:spcAft>
            <a:buNone/>
          </a:pPr>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Применение для целей таможенной статистики внешней торговли</a:t>
          </a:r>
        </a:p>
      </dgm:t>
    </dgm:pt>
    <dgm:pt modelId="{F1A986B7-882C-4670-9F9D-AE2FE216ED5B}" type="parTrans" cxnId="{07D3D012-89C3-475C-9721-49A589FED680}">
      <dgm:prSet>
        <dgm:style>
          <a:lnRef idx="1">
            <a:schemeClr val="dk1"/>
          </a:lnRef>
          <a:fillRef idx="0">
            <a:schemeClr val="dk1"/>
          </a:fillRef>
          <a:effectRef idx="0">
            <a:schemeClr val="dk1"/>
          </a:effectRef>
          <a:fontRef idx="minor">
            <a:schemeClr val="tx1"/>
          </a:fontRef>
        </dgm:style>
      </dgm:prSet>
      <dgm:spPr>
        <a:xfrm>
          <a:off x="1735303" y="833865"/>
          <a:ext cx="1007896" cy="1532669"/>
        </a:xfrm>
        <a:custGeom>
          <a:avLst/>
          <a:gdLst/>
          <a:ahLst/>
          <a:cxnLst/>
          <a:rect l="0" t="0" r="0" b="0"/>
          <a:pathLst>
            <a:path>
              <a:moveTo>
                <a:pt x="1007896" y="0"/>
              </a:moveTo>
              <a:lnTo>
                <a:pt x="1007896" y="1357745"/>
              </a:lnTo>
              <a:lnTo>
                <a:pt x="0" y="1357745"/>
              </a:lnTo>
              <a:lnTo>
                <a:pt x="0" y="1532669"/>
              </a:lnTo>
            </a:path>
          </a:pathLst>
        </a:custGeom>
        <a:noFill/>
        <a:ln w="6350" cap="flat" cmpd="sng" algn="ctr">
          <a:solidFill>
            <a:sysClr val="windowText" lastClr="000000"/>
          </a:solidFill>
          <a:prstDash val="solid"/>
          <a:miter lim="800000"/>
        </a:ln>
        <a:effectLst/>
      </dgm:spPr>
      <dgm:t>
        <a:bodyPr/>
        <a:lstStyle/>
        <a:p>
          <a:pPr algn="ctr">
            <a:lnSpc>
              <a:spcPct val="100000"/>
            </a:lnSpc>
            <a:spcBef>
              <a:spcPts val="0"/>
            </a:spcBef>
            <a:spcAft>
              <a:spcPts val="0"/>
            </a:spcAft>
          </a:pPr>
          <a:endParaRPr lang="ru-RU"/>
        </a:p>
      </dgm:t>
    </dgm:pt>
    <dgm:pt modelId="{947C8BDC-B882-44F2-9CEC-CE6C35A2A29E}" type="sibTrans" cxnId="{07D3D012-89C3-475C-9721-49A589FED680}">
      <dgm:prSet/>
      <dgm:spPr/>
      <dgm:t>
        <a:bodyPr/>
        <a:lstStyle/>
        <a:p>
          <a:pPr algn="ctr">
            <a:lnSpc>
              <a:spcPct val="100000"/>
            </a:lnSpc>
            <a:spcBef>
              <a:spcPts val="0"/>
            </a:spcBef>
            <a:spcAft>
              <a:spcPts val="0"/>
            </a:spcAft>
          </a:pPr>
          <a:endParaRPr lang="ru-RU"/>
        </a:p>
      </dgm:t>
    </dgm:pt>
    <dgm:pt modelId="{E9626CF0-E193-43B2-BF5E-921074C56C0B}">
      <dgm:prSet phldrT="[Текст]">
        <dgm:style>
          <a:lnRef idx="2">
            <a:schemeClr val="dk1"/>
          </a:lnRef>
          <a:fillRef idx="1">
            <a:schemeClr val="lt1"/>
          </a:fillRef>
          <a:effectRef idx="0">
            <a:schemeClr val="dk1"/>
          </a:effectRef>
          <a:fontRef idx="minor">
            <a:schemeClr val="dk1"/>
          </a:fontRef>
        </dgm:style>
      </dgm:prSet>
      <dgm:spPr>
        <a:xfrm>
          <a:off x="2918124" y="2366534"/>
          <a:ext cx="1665944" cy="832972"/>
        </a:xfrm>
        <a:prstGeom prst="rect">
          <a:avLst/>
        </a:prstGeom>
        <a:solidFill>
          <a:sysClr val="window" lastClr="FFFFFF"/>
        </a:solidFill>
        <a:ln w="12700" cap="flat" cmpd="sng" algn="ctr">
          <a:solidFill>
            <a:sysClr val="windowText" lastClr="000000"/>
          </a:solidFill>
          <a:prstDash val="solid"/>
          <a:miter lim="800000"/>
        </a:ln>
        <a:effectLst/>
      </dgm:spPr>
      <dgm:t>
        <a:bodyPr/>
        <a:lstStyle/>
        <a:p>
          <a:pPr algn="ctr">
            <a:lnSpc>
              <a:spcPct val="100000"/>
            </a:lnSpc>
            <a:spcBef>
              <a:spcPts val="0"/>
            </a:spcBef>
            <a:spcAft>
              <a:spcPts val="0"/>
            </a:spcAft>
            <a:buNone/>
          </a:pPr>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Применяется для уелей использования мер нетарифного регулирования </a:t>
          </a:r>
        </a:p>
      </dgm:t>
    </dgm:pt>
    <dgm:pt modelId="{82377FD5-FE73-46C7-BE3B-86A832EC4FD6}" type="parTrans" cxnId="{4C3B8147-AB21-48CF-A988-AF7546ED65EF}">
      <dgm:prSet>
        <dgm:style>
          <a:lnRef idx="1">
            <a:schemeClr val="dk1"/>
          </a:lnRef>
          <a:fillRef idx="0">
            <a:schemeClr val="dk1"/>
          </a:fillRef>
          <a:effectRef idx="0">
            <a:schemeClr val="dk1"/>
          </a:effectRef>
          <a:fontRef idx="minor">
            <a:schemeClr val="tx1"/>
          </a:fontRef>
        </dgm:style>
      </dgm:prSet>
      <dgm:spPr>
        <a:xfrm>
          <a:off x="2743200" y="833865"/>
          <a:ext cx="1007896" cy="1532669"/>
        </a:xfrm>
        <a:custGeom>
          <a:avLst/>
          <a:gdLst/>
          <a:ahLst/>
          <a:cxnLst/>
          <a:rect l="0" t="0" r="0" b="0"/>
          <a:pathLst>
            <a:path>
              <a:moveTo>
                <a:pt x="0" y="0"/>
              </a:moveTo>
              <a:lnTo>
                <a:pt x="0" y="1357745"/>
              </a:lnTo>
              <a:lnTo>
                <a:pt x="1007896" y="1357745"/>
              </a:lnTo>
              <a:lnTo>
                <a:pt x="1007896" y="1532669"/>
              </a:lnTo>
            </a:path>
          </a:pathLst>
        </a:custGeom>
        <a:noFill/>
        <a:ln w="6350" cap="flat" cmpd="sng" algn="ctr">
          <a:solidFill>
            <a:sysClr val="windowText" lastClr="000000"/>
          </a:solidFill>
          <a:prstDash val="solid"/>
          <a:miter lim="800000"/>
        </a:ln>
        <a:effectLst/>
      </dgm:spPr>
      <dgm:t>
        <a:bodyPr/>
        <a:lstStyle/>
        <a:p>
          <a:pPr algn="ctr">
            <a:lnSpc>
              <a:spcPct val="100000"/>
            </a:lnSpc>
            <a:spcBef>
              <a:spcPts val="0"/>
            </a:spcBef>
            <a:spcAft>
              <a:spcPts val="0"/>
            </a:spcAft>
          </a:pPr>
          <a:endParaRPr lang="ru-RU"/>
        </a:p>
      </dgm:t>
    </dgm:pt>
    <dgm:pt modelId="{9B59AB28-9036-4DB7-A4EC-FB3F04A90CC7}" type="sibTrans" cxnId="{4C3B8147-AB21-48CF-A988-AF7546ED65EF}">
      <dgm:prSet/>
      <dgm:spPr/>
      <dgm:t>
        <a:bodyPr/>
        <a:lstStyle/>
        <a:p>
          <a:pPr algn="ctr">
            <a:lnSpc>
              <a:spcPct val="100000"/>
            </a:lnSpc>
            <a:spcBef>
              <a:spcPts val="0"/>
            </a:spcBef>
            <a:spcAft>
              <a:spcPts val="0"/>
            </a:spcAft>
          </a:pPr>
          <a:endParaRPr lang="ru-RU"/>
        </a:p>
      </dgm:t>
    </dgm:pt>
    <dgm:pt modelId="{EFE2A86B-1098-42C8-AC3A-81BEA9308BEB}" type="pres">
      <dgm:prSet presAssocID="{75AB4186-0AC2-4909-B795-56FCD5CD8E5B}" presName="hierChild1" presStyleCnt="0">
        <dgm:presLayoutVars>
          <dgm:orgChart val="1"/>
          <dgm:chPref val="1"/>
          <dgm:dir/>
          <dgm:animOne val="branch"/>
          <dgm:animLvl val="lvl"/>
          <dgm:resizeHandles/>
        </dgm:presLayoutVars>
      </dgm:prSet>
      <dgm:spPr/>
    </dgm:pt>
    <dgm:pt modelId="{BC05FD84-1F66-484F-A259-C2219ED07FFF}" type="pres">
      <dgm:prSet presAssocID="{122A0F72-1D57-441D-99C3-B0F9F003EC94}" presName="hierRoot1" presStyleCnt="0">
        <dgm:presLayoutVars>
          <dgm:hierBranch val="init"/>
        </dgm:presLayoutVars>
      </dgm:prSet>
      <dgm:spPr/>
    </dgm:pt>
    <dgm:pt modelId="{F34832AF-1E5D-4319-92FF-13B65348DA4F}" type="pres">
      <dgm:prSet presAssocID="{122A0F72-1D57-441D-99C3-B0F9F003EC94}" presName="rootComposite1" presStyleCnt="0"/>
      <dgm:spPr/>
    </dgm:pt>
    <dgm:pt modelId="{BD01831D-600C-41BB-9A97-7D5DE89F01A1}" type="pres">
      <dgm:prSet presAssocID="{122A0F72-1D57-441D-99C3-B0F9F003EC94}" presName="rootText1" presStyleLbl="node0" presStyleIdx="0" presStyleCnt="1">
        <dgm:presLayoutVars>
          <dgm:chPref val="3"/>
        </dgm:presLayoutVars>
      </dgm:prSet>
      <dgm:spPr/>
    </dgm:pt>
    <dgm:pt modelId="{8AF06048-859E-4CFE-BA97-131CDC95DE43}" type="pres">
      <dgm:prSet presAssocID="{122A0F72-1D57-441D-99C3-B0F9F003EC94}" presName="rootConnector1" presStyleLbl="node1" presStyleIdx="0" presStyleCnt="0"/>
      <dgm:spPr/>
    </dgm:pt>
    <dgm:pt modelId="{0B9E4A9C-E682-4710-A9F2-0EC80023660C}" type="pres">
      <dgm:prSet presAssocID="{122A0F72-1D57-441D-99C3-B0F9F003EC94}" presName="hierChild2" presStyleCnt="0"/>
      <dgm:spPr/>
    </dgm:pt>
    <dgm:pt modelId="{3432B161-6040-4D3A-AE4D-A4DE73DB5D67}" type="pres">
      <dgm:prSet presAssocID="{F1A986B7-882C-4670-9F9D-AE2FE216ED5B}" presName="Name37" presStyleLbl="parChTrans1D2" presStyleIdx="0" presStyleCnt="3"/>
      <dgm:spPr/>
    </dgm:pt>
    <dgm:pt modelId="{7CDAD353-D34B-457F-996F-FDE8DFED0729}" type="pres">
      <dgm:prSet presAssocID="{A2ED2D6F-F6BC-4D01-BF1E-A676D0955CA9}" presName="hierRoot2" presStyleCnt="0">
        <dgm:presLayoutVars>
          <dgm:hierBranch val="r"/>
        </dgm:presLayoutVars>
      </dgm:prSet>
      <dgm:spPr/>
    </dgm:pt>
    <dgm:pt modelId="{C59D1D6D-C601-4D7E-A97C-7DDA7A02B279}" type="pres">
      <dgm:prSet presAssocID="{A2ED2D6F-F6BC-4D01-BF1E-A676D0955CA9}" presName="rootComposite" presStyleCnt="0"/>
      <dgm:spPr/>
    </dgm:pt>
    <dgm:pt modelId="{CF3DC4B3-0A4F-4522-9C05-CB799A667767}" type="pres">
      <dgm:prSet presAssocID="{A2ED2D6F-F6BC-4D01-BF1E-A676D0955CA9}" presName="rootText" presStyleLbl="node2" presStyleIdx="0" presStyleCnt="2">
        <dgm:presLayoutVars>
          <dgm:chPref val="3"/>
        </dgm:presLayoutVars>
      </dgm:prSet>
      <dgm:spPr/>
    </dgm:pt>
    <dgm:pt modelId="{603E96BF-FAAC-4E54-BCE9-8D7860D9CCCC}" type="pres">
      <dgm:prSet presAssocID="{A2ED2D6F-F6BC-4D01-BF1E-A676D0955CA9}" presName="rootConnector" presStyleLbl="node2" presStyleIdx="0" presStyleCnt="2"/>
      <dgm:spPr/>
    </dgm:pt>
    <dgm:pt modelId="{392B4605-531A-453E-89B3-1ED31D5A8426}" type="pres">
      <dgm:prSet presAssocID="{A2ED2D6F-F6BC-4D01-BF1E-A676D0955CA9}" presName="hierChild4" presStyleCnt="0"/>
      <dgm:spPr/>
    </dgm:pt>
    <dgm:pt modelId="{645C8AF1-5868-4242-90F3-FEBD40BB127E}" type="pres">
      <dgm:prSet presAssocID="{A2ED2D6F-F6BC-4D01-BF1E-A676D0955CA9}" presName="hierChild5" presStyleCnt="0"/>
      <dgm:spPr/>
    </dgm:pt>
    <dgm:pt modelId="{048C09DD-2953-486F-9E68-9523ECB6C1EF}" type="pres">
      <dgm:prSet presAssocID="{82377FD5-FE73-46C7-BE3B-86A832EC4FD6}" presName="Name37" presStyleLbl="parChTrans1D2" presStyleIdx="1" presStyleCnt="3"/>
      <dgm:spPr/>
    </dgm:pt>
    <dgm:pt modelId="{011C7903-84D6-427A-ACC1-CE666945DE4D}" type="pres">
      <dgm:prSet presAssocID="{E9626CF0-E193-43B2-BF5E-921074C56C0B}" presName="hierRoot2" presStyleCnt="0">
        <dgm:presLayoutVars>
          <dgm:hierBranch val="init"/>
        </dgm:presLayoutVars>
      </dgm:prSet>
      <dgm:spPr/>
    </dgm:pt>
    <dgm:pt modelId="{194E1C47-6931-455B-99C3-D5328916388F}" type="pres">
      <dgm:prSet presAssocID="{E9626CF0-E193-43B2-BF5E-921074C56C0B}" presName="rootComposite" presStyleCnt="0"/>
      <dgm:spPr/>
    </dgm:pt>
    <dgm:pt modelId="{9A33C288-946E-4766-80E9-846515235196}" type="pres">
      <dgm:prSet presAssocID="{E9626CF0-E193-43B2-BF5E-921074C56C0B}" presName="rootText" presStyleLbl="node2" presStyleIdx="1" presStyleCnt="2">
        <dgm:presLayoutVars>
          <dgm:chPref val="3"/>
        </dgm:presLayoutVars>
      </dgm:prSet>
      <dgm:spPr/>
    </dgm:pt>
    <dgm:pt modelId="{9CA630A0-62D6-40BB-AAD6-BDFF95ACB288}" type="pres">
      <dgm:prSet presAssocID="{E9626CF0-E193-43B2-BF5E-921074C56C0B}" presName="rootConnector" presStyleLbl="node2" presStyleIdx="1" presStyleCnt="2"/>
      <dgm:spPr/>
    </dgm:pt>
    <dgm:pt modelId="{2C2D9AF8-BBC0-4950-9A9F-F37CE04C32C3}" type="pres">
      <dgm:prSet presAssocID="{E9626CF0-E193-43B2-BF5E-921074C56C0B}" presName="hierChild4" presStyleCnt="0"/>
      <dgm:spPr/>
    </dgm:pt>
    <dgm:pt modelId="{E2240B46-8E4C-4EBE-B548-C623FEB66B25}" type="pres">
      <dgm:prSet presAssocID="{E9626CF0-E193-43B2-BF5E-921074C56C0B}" presName="hierChild5" presStyleCnt="0"/>
      <dgm:spPr/>
    </dgm:pt>
    <dgm:pt modelId="{F3B1BA18-533D-42EA-8FC6-76769010B386}" type="pres">
      <dgm:prSet presAssocID="{122A0F72-1D57-441D-99C3-B0F9F003EC94}" presName="hierChild3" presStyleCnt="0"/>
      <dgm:spPr/>
    </dgm:pt>
    <dgm:pt modelId="{4A9A906B-FF90-4883-8B88-17071C834558}" type="pres">
      <dgm:prSet presAssocID="{D2957704-8C2C-4EE9-8A6B-29CC41CE9F49}" presName="Name111" presStyleLbl="parChTrans1D2" presStyleIdx="2" presStyleCnt="3"/>
      <dgm:spPr/>
    </dgm:pt>
    <dgm:pt modelId="{F956E49E-9383-4F8B-AA3C-C88DC970BD77}" type="pres">
      <dgm:prSet presAssocID="{C53B8400-19C3-439C-867B-A2834E2E4D46}" presName="hierRoot3" presStyleCnt="0">
        <dgm:presLayoutVars>
          <dgm:hierBranch val="init"/>
        </dgm:presLayoutVars>
      </dgm:prSet>
      <dgm:spPr/>
    </dgm:pt>
    <dgm:pt modelId="{B77CA42C-EFC5-4FAE-9D3C-FFC51F6AC001}" type="pres">
      <dgm:prSet presAssocID="{C53B8400-19C3-439C-867B-A2834E2E4D46}" presName="rootComposite3" presStyleCnt="0"/>
      <dgm:spPr/>
    </dgm:pt>
    <dgm:pt modelId="{657042BE-4824-4A9A-A343-B585003857FE}" type="pres">
      <dgm:prSet presAssocID="{C53B8400-19C3-439C-867B-A2834E2E4D46}" presName="rootText3" presStyleLbl="asst1" presStyleIdx="0" presStyleCnt="1">
        <dgm:presLayoutVars>
          <dgm:chPref val="3"/>
        </dgm:presLayoutVars>
      </dgm:prSet>
      <dgm:spPr/>
    </dgm:pt>
    <dgm:pt modelId="{9E72E9FD-DAEE-40A2-AA04-9F97D35B17E7}" type="pres">
      <dgm:prSet presAssocID="{C53B8400-19C3-439C-867B-A2834E2E4D46}" presName="rootConnector3" presStyleLbl="asst1" presStyleIdx="0" presStyleCnt="1"/>
      <dgm:spPr/>
    </dgm:pt>
    <dgm:pt modelId="{E5BF4FC8-0507-432E-A7AA-954AF11B6A41}" type="pres">
      <dgm:prSet presAssocID="{C53B8400-19C3-439C-867B-A2834E2E4D46}" presName="hierChild6" presStyleCnt="0"/>
      <dgm:spPr/>
    </dgm:pt>
    <dgm:pt modelId="{B51E38BD-D955-47B6-9187-91780B13281F}" type="pres">
      <dgm:prSet presAssocID="{C53B8400-19C3-439C-867B-A2834E2E4D46}" presName="hierChild7" presStyleCnt="0"/>
      <dgm:spPr/>
    </dgm:pt>
  </dgm:ptLst>
  <dgm:cxnLst>
    <dgm:cxn modelId="{E7B79306-F771-49AE-A679-FC88591176CD}" type="presOf" srcId="{A2ED2D6F-F6BC-4D01-BF1E-A676D0955CA9}" destId="{603E96BF-FAAC-4E54-BCE9-8D7860D9CCCC}" srcOrd="1" destOrd="0" presId="urn:microsoft.com/office/officeart/2005/8/layout/orgChart1"/>
    <dgm:cxn modelId="{07D3D012-89C3-475C-9721-49A589FED680}" srcId="{122A0F72-1D57-441D-99C3-B0F9F003EC94}" destId="{A2ED2D6F-F6BC-4D01-BF1E-A676D0955CA9}" srcOrd="1" destOrd="0" parTransId="{F1A986B7-882C-4670-9F9D-AE2FE216ED5B}" sibTransId="{947C8BDC-B882-44F2-9CEC-CE6C35A2A29E}"/>
    <dgm:cxn modelId="{D4DDB73A-9807-4194-B71F-456EAEF8DF80}" type="presOf" srcId="{C53B8400-19C3-439C-867B-A2834E2E4D46}" destId="{9E72E9FD-DAEE-40A2-AA04-9F97D35B17E7}" srcOrd="1" destOrd="0" presId="urn:microsoft.com/office/officeart/2005/8/layout/orgChart1"/>
    <dgm:cxn modelId="{30E5393B-B760-495F-BE5D-8EC51BF2F540}" type="presOf" srcId="{122A0F72-1D57-441D-99C3-B0F9F003EC94}" destId="{8AF06048-859E-4CFE-BA97-131CDC95DE43}" srcOrd="1" destOrd="0" presId="urn:microsoft.com/office/officeart/2005/8/layout/orgChart1"/>
    <dgm:cxn modelId="{33BB173D-24CC-4EC5-AB67-81B0A1B99F4D}" type="presOf" srcId="{D2957704-8C2C-4EE9-8A6B-29CC41CE9F49}" destId="{4A9A906B-FF90-4883-8B88-17071C834558}" srcOrd="0" destOrd="0" presId="urn:microsoft.com/office/officeart/2005/8/layout/orgChart1"/>
    <dgm:cxn modelId="{4C3B8147-AB21-48CF-A988-AF7546ED65EF}" srcId="{122A0F72-1D57-441D-99C3-B0F9F003EC94}" destId="{E9626CF0-E193-43B2-BF5E-921074C56C0B}" srcOrd="2" destOrd="0" parTransId="{82377FD5-FE73-46C7-BE3B-86A832EC4FD6}" sibTransId="{9B59AB28-9036-4DB7-A4EC-FB3F04A90CC7}"/>
    <dgm:cxn modelId="{64283362-4B47-41EE-915B-1BED87478261}" type="presOf" srcId="{F1A986B7-882C-4670-9F9D-AE2FE216ED5B}" destId="{3432B161-6040-4D3A-AE4D-A4DE73DB5D67}" srcOrd="0" destOrd="0" presId="urn:microsoft.com/office/officeart/2005/8/layout/orgChart1"/>
    <dgm:cxn modelId="{8D438D74-A427-40C0-B4D8-9FAC83DC4BA9}" srcId="{75AB4186-0AC2-4909-B795-56FCD5CD8E5B}" destId="{122A0F72-1D57-441D-99C3-B0F9F003EC94}" srcOrd="0" destOrd="0" parTransId="{BE9C3A0D-BD63-4B63-9A9B-D1916B113234}" sibTransId="{8DAA45D7-8F85-463C-9067-9F26DE40437F}"/>
    <dgm:cxn modelId="{8EBDB683-0D1E-4289-AFAB-293486361FE0}" type="presOf" srcId="{E9626CF0-E193-43B2-BF5E-921074C56C0B}" destId="{9CA630A0-62D6-40BB-AAD6-BDFF95ACB288}" srcOrd="1" destOrd="0" presId="urn:microsoft.com/office/officeart/2005/8/layout/orgChart1"/>
    <dgm:cxn modelId="{18AC8C86-31E0-475A-A72D-CA19937D0910}" srcId="{122A0F72-1D57-441D-99C3-B0F9F003EC94}" destId="{C53B8400-19C3-439C-867B-A2834E2E4D46}" srcOrd="0" destOrd="0" parTransId="{D2957704-8C2C-4EE9-8A6B-29CC41CE9F49}" sibTransId="{C1198483-C714-4B7E-BB00-4AF2B976FB58}"/>
    <dgm:cxn modelId="{E6BFAC8B-EB3D-43FB-9A6A-88BB308BC50A}" type="presOf" srcId="{75AB4186-0AC2-4909-B795-56FCD5CD8E5B}" destId="{EFE2A86B-1098-42C8-AC3A-81BEA9308BEB}" srcOrd="0" destOrd="0" presId="urn:microsoft.com/office/officeart/2005/8/layout/orgChart1"/>
    <dgm:cxn modelId="{1A494CC8-BA1F-46F9-8318-AD7C5B064668}" type="presOf" srcId="{C53B8400-19C3-439C-867B-A2834E2E4D46}" destId="{657042BE-4824-4A9A-A343-B585003857FE}" srcOrd="0" destOrd="0" presId="urn:microsoft.com/office/officeart/2005/8/layout/orgChart1"/>
    <dgm:cxn modelId="{4AE0B2D6-D721-4290-9674-17414333C334}" type="presOf" srcId="{E9626CF0-E193-43B2-BF5E-921074C56C0B}" destId="{9A33C288-946E-4766-80E9-846515235196}" srcOrd="0" destOrd="0" presId="urn:microsoft.com/office/officeart/2005/8/layout/orgChart1"/>
    <dgm:cxn modelId="{AF3CF1E0-5EB8-4543-81D1-8E82A091F70C}" type="presOf" srcId="{82377FD5-FE73-46C7-BE3B-86A832EC4FD6}" destId="{048C09DD-2953-486F-9E68-9523ECB6C1EF}" srcOrd="0" destOrd="0" presId="urn:microsoft.com/office/officeart/2005/8/layout/orgChart1"/>
    <dgm:cxn modelId="{33FD4DE4-D289-4D00-85B1-30619F6DDDBD}" type="presOf" srcId="{122A0F72-1D57-441D-99C3-B0F9F003EC94}" destId="{BD01831D-600C-41BB-9A97-7D5DE89F01A1}" srcOrd="0" destOrd="0" presId="urn:microsoft.com/office/officeart/2005/8/layout/orgChart1"/>
    <dgm:cxn modelId="{910727ED-8EA0-4BD2-BC47-05154AD9CBD3}" type="presOf" srcId="{A2ED2D6F-F6BC-4D01-BF1E-A676D0955CA9}" destId="{CF3DC4B3-0A4F-4522-9C05-CB799A667767}" srcOrd="0" destOrd="0" presId="urn:microsoft.com/office/officeart/2005/8/layout/orgChart1"/>
    <dgm:cxn modelId="{756365D2-BCF9-442A-8C56-C4B6408417D6}" type="presParOf" srcId="{EFE2A86B-1098-42C8-AC3A-81BEA9308BEB}" destId="{BC05FD84-1F66-484F-A259-C2219ED07FFF}" srcOrd="0" destOrd="0" presId="urn:microsoft.com/office/officeart/2005/8/layout/orgChart1"/>
    <dgm:cxn modelId="{31C2C6FD-22C2-4CCD-AE96-03BEA9922A7A}" type="presParOf" srcId="{BC05FD84-1F66-484F-A259-C2219ED07FFF}" destId="{F34832AF-1E5D-4319-92FF-13B65348DA4F}" srcOrd="0" destOrd="0" presId="urn:microsoft.com/office/officeart/2005/8/layout/orgChart1"/>
    <dgm:cxn modelId="{A41C11E1-B32C-438F-8A4C-DEAA1B31929B}" type="presParOf" srcId="{F34832AF-1E5D-4319-92FF-13B65348DA4F}" destId="{BD01831D-600C-41BB-9A97-7D5DE89F01A1}" srcOrd="0" destOrd="0" presId="urn:microsoft.com/office/officeart/2005/8/layout/orgChart1"/>
    <dgm:cxn modelId="{95936339-868C-4CD0-ADF5-9467E4A8E2DD}" type="presParOf" srcId="{F34832AF-1E5D-4319-92FF-13B65348DA4F}" destId="{8AF06048-859E-4CFE-BA97-131CDC95DE43}" srcOrd="1" destOrd="0" presId="urn:microsoft.com/office/officeart/2005/8/layout/orgChart1"/>
    <dgm:cxn modelId="{2356E013-57E7-458F-9681-5EFF740A85F4}" type="presParOf" srcId="{BC05FD84-1F66-484F-A259-C2219ED07FFF}" destId="{0B9E4A9C-E682-4710-A9F2-0EC80023660C}" srcOrd="1" destOrd="0" presId="urn:microsoft.com/office/officeart/2005/8/layout/orgChart1"/>
    <dgm:cxn modelId="{B35E2706-F76A-40B8-A3AB-7B022C3E3940}" type="presParOf" srcId="{0B9E4A9C-E682-4710-A9F2-0EC80023660C}" destId="{3432B161-6040-4D3A-AE4D-A4DE73DB5D67}" srcOrd="0" destOrd="0" presId="urn:microsoft.com/office/officeart/2005/8/layout/orgChart1"/>
    <dgm:cxn modelId="{087D5CC5-41F2-454B-8421-9B35A798F5DC}" type="presParOf" srcId="{0B9E4A9C-E682-4710-A9F2-0EC80023660C}" destId="{7CDAD353-D34B-457F-996F-FDE8DFED0729}" srcOrd="1" destOrd="0" presId="urn:microsoft.com/office/officeart/2005/8/layout/orgChart1"/>
    <dgm:cxn modelId="{C2084B0C-5882-41BC-A5B0-1B8C34FA7713}" type="presParOf" srcId="{7CDAD353-D34B-457F-996F-FDE8DFED0729}" destId="{C59D1D6D-C601-4D7E-A97C-7DDA7A02B279}" srcOrd="0" destOrd="0" presId="urn:microsoft.com/office/officeart/2005/8/layout/orgChart1"/>
    <dgm:cxn modelId="{DFF7096A-38C3-4D58-8D4D-C06EDBF58261}" type="presParOf" srcId="{C59D1D6D-C601-4D7E-A97C-7DDA7A02B279}" destId="{CF3DC4B3-0A4F-4522-9C05-CB799A667767}" srcOrd="0" destOrd="0" presId="urn:microsoft.com/office/officeart/2005/8/layout/orgChart1"/>
    <dgm:cxn modelId="{A6277B73-B46E-4035-B87F-2A5BC06EA267}" type="presParOf" srcId="{C59D1D6D-C601-4D7E-A97C-7DDA7A02B279}" destId="{603E96BF-FAAC-4E54-BCE9-8D7860D9CCCC}" srcOrd="1" destOrd="0" presId="urn:microsoft.com/office/officeart/2005/8/layout/orgChart1"/>
    <dgm:cxn modelId="{2AFC69A5-6B90-4949-ACC6-E6693C7CC512}" type="presParOf" srcId="{7CDAD353-D34B-457F-996F-FDE8DFED0729}" destId="{392B4605-531A-453E-89B3-1ED31D5A8426}" srcOrd="1" destOrd="0" presId="urn:microsoft.com/office/officeart/2005/8/layout/orgChart1"/>
    <dgm:cxn modelId="{11E7E16B-8321-4AAE-B643-14DBBE2C70C5}" type="presParOf" srcId="{7CDAD353-D34B-457F-996F-FDE8DFED0729}" destId="{645C8AF1-5868-4242-90F3-FEBD40BB127E}" srcOrd="2" destOrd="0" presId="urn:microsoft.com/office/officeart/2005/8/layout/orgChart1"/>
    <dgm:cxn modelId="{CE0EB827-3434-41DD-8181-7B9000658870}" type="presParOf" srcId="{0B9E4A9C-E682-4710-A9F2-0EC80023660C}" destId="{048C09DD-2953-486F-9E68-9523ECB6C1EF}" srcOrd="2" destOrd="0" presId="urn:microsoft.com/office/officeart/2005/8/layout/orgChart1"/>
    <dgm:cxn modelId="{0B9BEAF6-6947-4288-B253-A52D810E1E07}" type="presParOf" srcId="{0B9E4A9C-E682-4710-A9F2-0EC80023660C}" destId="{011C7903-84D6-427A-ACC1-CE666945DE4D}" srcOrd="3" destOrd="0" presId="urn:microsoft.com/office/officeart/2005/8/layout/orgChart1"/>
    <dgm:cxn modelId="{314EFDEF-1644-4D2D-AC2E-ADE21F214C52}" type="presParOf" srcId="{011C7903-84D6-427A-ACC1-CE666945DE4D}" destId="{194E1C47-6931-455B-99C3-D5328916388F}" srcOrd="0" destOrd="0" presId="urn:microsoft.com/office/officeart/2005/8/layout/orgChart1"/>
    <dgm:cxn modelId="{1CD9BD90-F3F2-46A3-A9AC-E601B5A353DB}" type="presParOf" srcId="{194E1C47-6931-455B-99C3-D5328916388F}" destId="{9A33C288-946E-4766-80E9-846515235196}" srcOrd="0" destOrd="0" presId="urn:microsoft.com/office/officeart/2005/8/layout/orgChart1"/>
    <dgm:cxn modelId="{63408AA8-7BEE-4E3C-B277-DE93C6539249}" type="presParOf" srcId="{194E1C47-6931-455B-99C3-D5328916388F}" destId="{9CA630A0-62D6-40BB-AAD6-BDFF95ACB288}" srcOrd="1" destOrd="0" presId="urn:microsoft.com/office/officeart/2005/8/layout/orgChart1"/>
    <dgm:cxn modelId="{26D4A974-6464-4F82-B9FA-45567D962D1F}" type="presParOf" srcId="{011C7903-84D6-427A-ACC1-CE666945DE4D}" destId="{2C2D9AF8-BBC0-4950-9A9F-F37CE04C32C3}" srcOrd="1" destOrd="0" presId="urn:microsoft.com/office/officeart/2005/8/layout/orgChart1"/>
    <dgm:cxn modelId="{A793043D-5681-4C19-9646-E70AC2B6A5D4}" type="presParOf" srcId="{011C7903-84D6-427A-ACC1-CE666945DE4D}" destId="{E2240B46-8E4C-4EBE-B548-C623FEB66B25}" srcOrd="2" destOrd="0" presId="urn:microsoft.com/office/officeart/2005/8/layout/orgChart1"/>
    <dgm:cxn modelId="{03A44AFC-FE76-4A4E-A5DF-59727118C1EA}" type="presParOf" srcId="{BC05FD84-1F66-484F-A259-C2219ED07FFF}" destId="{F3B1BA18-533D-42EA-8FC6-76769010B386}" srcOrd="2" destOrd="0" presId="urn:microsoft.com/office/officeart/2005/8/layout/orgChart1"/>
    <dgm:cxn modelId="{1B5600E0-5287-4925-9AF7-D48BE0483E64}" type="presParOf" srcId="{F3B1BA18-533D-42EA-8FC6-76769010B386}" destId="{4A9A906B-FF90-4883-8B88-17071C834558}" srcOrd="0" destOrd="0" presId="urn:microsoft.com/office/officeart/2005/8/layout/orgChart1"/>
    <dgm:cxn modelId="{418BBEF4-8DB5-4123-9B42-2C0C865A4C83}" type="presParOf" srcId="{F3B1BA18-533D-42EA-8FC6-76769010B386}" destId="{F956E49E-9383-4F8B-AA3C-C88DC970BD77}" srcOrd="1" destOrd="0" presId="urn:microsoft.com/office/officeart/2005/8/layout/orgChart1"/>
    <dgm:cxn modelId="{5968E590-C4A6-4336-8ADE-D65D72C86167}" type="presParOf" srcId="{F956E49E-9383-4F8B-AA3C-C88DC970BD77}" destId="{B77CA42C-EFC5-4FAE-9D3C-FFC51F6AC001}" srcOrd="0" destOrd="0" presId="urn:microsoft.com/office/officeart/2005/8/layout/orgChart1"/>
    <dgm:cxn modelId="{1F6066C8-3D03-4A17-B893-7A24506FEB41}" type="presParOf" srcId="{B77CA42C-EFC5-4FAE-9D3C-FFC51F6AC001}" destId="{657042BE-4824-4A9A-A343-B585003857FE}" srcOrd="0" destOrd="0" presId="urn:microsoft.com/office/officeart/2005/8/layout/orgChart1"/>
    <dgm:cxn modelId="{08BA57A7-5F7D-4EFC-B32F-BB06D1B31185}" type="presParOf" srcId="{B77CA42C-EFC5-4FAE-9D3C-FFC51F6AC001}" destId="{9E72E9FD-DAEE-40A2-AA04-9F97D35B17E7}" srcOrd="1" destOrd="0" presId="urn:microsoft.com/office/officeart/2005/8/layout/orgChart1"/>
    <dgm:cxn modelId="{E8F35B80-B285-4BD5-9E80-767E023D1A7D}" type="presParOf" srcId="{F956E49E-9383-4F8B-AA3C-C88DC970BD77}" destId="{E5BF4FC8-0507-432E-A7AA-954AF11B6A41}" srcOrd="1" destOrd="0" presId="urn:microsoft.com/office/officeart/2005/8/layout/orgChart1"/>
    <dgm:cxn modelId="{F13429C3-B966-484E-B2AE-C14CCD72F702}" type="presParOf" srcId="{F956E49E-9383-4F8B-AA3C-C88DC970BD77}" destId="{B51E38BD-D955-47B6-9187-91780B13281F}" srcOrd="2" destOrd="0" presId="urn:microsoft.com/office/officeart/2005/8/layout/orgChart1"/>
  </dgm:cxnLst>
  <dgm:bg/>
  <dgm:whole>
    <a:ln>
      <a:noFill/>
    </a:ln>
  </dgm:whole>
  <dgm:extLst>
    <a:ext uri="http://schemas.microsoft.com/office/drawing/2008/diagram">
      <dsp:dataModelExt xmlns:dsp="http://schemas.microsoft.com/office/drawing/2008/diagram" relId="rId12"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90250EB1-9150-4536-9DAD-AE2E43F5BEA2}" type="doc">
      <dgm:prSet loTypeId="urn:microsoft.com/office/officeart/2005/8/layout/lProcess1" loCatId="process" qsTypeId="urn:microsoft.com/office/officeart/2005/8/quickstyle/simple1" qsCatId="simple" csTypeId="urn:microsoft.com/office/officeart/2005/8/colors/accent0_1" csCatId="mainScheme" phldr="1"/>
      <dgm:spPr/>
      <dgm:t>
        <a:bodyPr/>
        <a:lstStyle/>
        <a:p>
          <a:endParaRPr lang="ru-RU"/>
        </a:p>
      </dgm:t>
    </dgm:pt>
    <dgm:pt modelId="{D600848E-5A23-41A4-B95A-ACE2F3BDABBA}">
      <dgm:prSet phldrT="[Текст]" custT="1"/>
      <dgm:spPr>
        <a:xfrm>
          <a:off x="39067" y="577"/>
          <a:ext cx="2804385" cy="519615"/>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lnSpc>
              <a:spcPct val="100000"/>
            </a:lnSpc>
            <a:spcBef>
              <a:spcPts val="0"/>
            </a:spcBef>
            <a:spcAft>
              <a:spcPts val="0"/>
            </a:spcAft>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Методы определения таможенной стоимости при ввозе товаров на таможенную территорию ЕАЭС</a:t>
          </a:r>
        </a:p>
      </dgm:t>
    </dgm:pt>
    <dgm:pt modelId="{1E8E995E-A86D-4C48-9852-66C7C8697BBD}" type="parTrans" cxnId="{A611BBBA-C629-4F27-996D-30619A7AC883}">
      <dgm:prSet/>
      <dgm:spPr/>
      <dgm:t>
        <a:bodyPr/>
        <a:lstStyle/>
        <a:p>
          <a:pPr algn="ctr">
            <a:lnSpc>
              <a:spcPct val="100000"/>
            </a:lnSpc>
            <a:spcBef>
              <a:spcPts val="0"/>
            </a:spcBef>
            <a:spcAft>
              <a:spcPts val="0"/>
            </a:spcAft>
          </a:pPr>
          <a:endParaRPr lang="ru-RU"/>
        </a:p>
      </dgm:t>
    </dgm:pt>
    <dgm:pt modelId="{DC728429-9EEF-4439-85E4-BDF78944A7D9}" type="sibTrans" cxnId="{A611BBBA-C629-4F27-996D-30619A7AC883}">
      <dgm:prSet/>
      <dgm:spPr/>
      <dgm:t>
        <a:bodyPr/>
        <a:lstStyle/>
        <a:p>
          <a:pPr algn="ctr">
            <a:lnSpc>
              <a:spcPct val="100000"/>
            </a:lnSpc>
            <a:spcBef>
              <a:spcPts val="0"/>
            </a:spcBef>
            <a:spcAft>
              <a:spcPts val="0"/>
            </a:spcAft>
          </a:pPr>
          <a:endParaRPr lang="ru-RU"/>
        </a:p>
      </dgm:t>
    </dgm:pt>
    <dgm:pt modelId="{5C66DE8F-9503-4C6D-A407-037D47111A9D}">
      <dgm:prSet phldrT="[Текст]" custT="1"/>
      <dgm:spPr>
        <a:xfrm>
          <a:off x="39067" y="702058"/>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gm:spPr>
      <dgm:t>
        <a:bodyPr/>
        <a:lstStyle/>
        <a:p>
          <a:pPr algn="ctr">
            <a:lnSpc>
              <a:spcPct val="100000"/>
            </a:lnSpc>
            <a:spcBef>
              <a:spcPts val="0"/>
            </a:spcBef>
            <a:spcAft>
              <a:spcPts val="0"/>
            </a:spcAft>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 по стоимости сделки с ввозимыми товарами (метод 1)</a:t>
          </a:r>
        </a:p>
      </dgm:t>
    </dgm:pt>
    <dgm:pt modelId="{EE3E5E3F-FD91-440E-B31E-2BD3C80335F8}" type="parTrans" cxnId="{BA1BFC5F-4B15-447C-A018-1802DBACF615}">
      <dgm:prSet/>
      <dgm:spPr>
        <a:xfrm rot="5400000">
          <a:off x="1395793" y="565659"/>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gm:spPr>
      <dgm:t>
        <a:bodyPr/>
        <a:lstStyle/>
        <a:p>
          <a:pPr algn="ctr">
            <a:lnSpc>
              <a:spcPct val="100000"/>
            </a:lnSpc>
            <a:spcBef>
              <a:spcPts val="0"/>
            </a:spcBef>
            <a:spcAft>
              <a:spcPts val="0"/>
            </a:spcAft>
          </a:pPr>
          <a:endParaRPr lang="ru-RU"/>
        </a:p>
      </dgm:t>
    </dgm:pt>
    <dgm:pt modelId="{10B60656-BCDD-42AA-B90A-1F02F3063BC7}" type="sibTrans" cxnId="{BA1BFC5F-4B15-447C-A018-1802DBACF615}">
      <dgm:prSet/>
      <dgm:spPr>
        <a:xfrm rot="5400000">
          <a:off x="1395793" y="1267139"/>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gm:spPr>
      <dgm:t>
        <a:bodyPr/>
        <a:lstStyle/>
        <a:p>
          <a:pPr algn="ctr">
            <a:lnSpc>
              <a:spcPct val="100000"/>
            </a:lnSpc>
            <a:spcBef>
              <a:spcPts val="0"/>
            </a:spcBef>
            <a:spcAft>
              <a:spcPts val="0"/>
            </a:spcAft>
          </a:pPr>
          <a:endParaRPr lang="ru-RU"/>
        </a:p>
      </dgm:t>
    </dgm:pt>
    <dgm:pt modelId="{36E7D820-826D-46DC-B18E-09D07505476E}">
      <dgm:prSet phldrT="[Текст]" custT="1"/>
      <dgm:spPr>
        <a:xfrm>
          <a:off x="39067" y="2105019"/>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gm:spPr>
      <dgm:t>
        <a:bodyPr/>
        <a:lstStyle/>
        <a:p>
          <a:pPr algn="ctr">
            <a:lnSpc>
              <a:spcPct val="100000"/>
            </a:lnSpc>
            <a:spcBef>
              <a:spcPts val="0"/>
            </a:spcBef>
            <a:spcAft>
              <a:spcPts val="0"/>
            </a:spcAft>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 по стоимости сделки с однородными товарами (метод 3)</a:t>
          </a:r>
        </a:p>
      </dgm:t>
    </dgm:pt>
    <dgm:pt modelId="{BF2DA9B5-3BCB-4C21-9FC7-FA8FE6EB141B}" type="parTrans" cxnId="{2CEC9A38-E6E2-49C3-9257-36F69CD751BF}">
      <dgm:prSet/>
      <dgm:spPr/>
      <dgm:t>
        <a:bodyPr/>
        <a:lstStyle/>
        <a:p>
          <a:pPr algn="ctr">
            <a:lnSpc>
              <a:spcPct val="100000"/>
            </a:lnSpc>
            <a:spcBef>
              <a:spcPts val="0"/>
            </a:spcBef>
            <a:spcAft>
              <a:spcPts val="0"/>
            </a:spcAft>
          </a:pPr>
          <a:endParaRPr lang="ru-RU"/>
        </a:p>
      </dgm:t>
    </dgm:pt>
    <dgm:pt modelId="{8B0D5E68-0EB5-46BB-A501-FD1E578C72D8}" type="sibTrans" cxnId="{2CEC9A38-E6E2-49C3-9257-36F69CD751BF}">
      <dgm:prSet/>
      <dgm:spPr>
        <a:xfrm rot="5400000">
          <a:off x="1395793" y="2670101"/>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gm:spPr>
      <dgm:t>
        <a:bodyPr/>
        <a:lstStyle/>
        <a:p>
          <a:pPr algn="ctr">
            <a:lnSpc>
              <a:spcPct val="100000"/>
            </a:lnSpc>
            <a:spcBef>
              <a:spcPts val="0"/>
            </a:spcBef>
            <a:spcAft>
              <a:spcPts val="0"/>
            </a:spcAft>
          </a:pPr>
          <a:endParaRPr lang="ru-RU"/>
        </a:p>
      </dgm:t>
    </dgm:pt>
    <dgm:pt modelId="{B664F8E1-9766-4A38-A4BA-AC89D6E1E735}">
      <dgm:prSet phldrT="[Текст]" custT="1"/>
      <dgm:spPr>
        <a:xfrm>
          <a:off x="3134437" y="577"/>
          <a:ext cx="2804385" cy="519615"/>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gn="ctr">
            <a:lnSpc>
              <a:spcPct val="100000"/>
            </a:lnSpc>
            <a:spcBef>
              <a:spcPts val="0"/>
            </a:spcBef>
            <a:spcAft>
              <a:spcPts val="0"/>
            </a:spcAft>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Методы определения таможенной стоимости при вывозе товаров с таможенной территории Российской Федерации</a:t>
          </a:r>
        </a:p>
      </dgm:t>
    </dgm:pt>
    <dgm:pt modelId="{36E1EB66-FD32-4A45-8085-915FDC30B8C9}" type="parTrans" cxnId="{3FBC26A9-81C2-4703-B9E3-71785557A842}">
      <dgm:prSet/>
      <dgm:spPr/>
      <dgm:t>
        <a:bodyPr/>
        <a:lstStyle/>
        <a:p>
          <a:pPr algn="ctr">
            <a:lnSpc>
              <a:spcPct val="100000"/>
            </a:lnSpc>
            <a:spcBef>
              <a:spcPts val="0"/>
            </a:spcBef>
            <a:spcAft>
              <a:spcPts val="0"/>
            </a:spcAft>
          </a:pPr>
          <a:endParaRPr lang="ru-RU"/>
        </a:p>
      </dgm:t>
    </dgm:pt>
    <dgm:pt modelId="{8A6A55A7-B1D2-4788-8914-F2F1F9F90075}" type="sibTrans" cxnId="{3FBC26A9-81C2-4703-B9E3-71785557A842}">
      <dgm:prSet/>
      <dgm:spPr/>
      <dgm:t>
        <a:bodyPr/>
        <a:lstStyle/>
        <a:p>
          <a:pPr algn="ctr">
            <a:lnSpc>
              <a:spcPct val="100000"/>
            </a:lnSpc>
            <a:spcBef>
              <a:spcPts val="0"/>
            </a:spcBef>
            <a:spcAft>
              <a:spcPts val="0"/>
            </a:spcAft>
          </a:pPr>
          <a:endParaRPr lang="ru-RU"/>
        </a:p>
      </dgm:t>
    </dgm:pt>
    <dgm:pt modelId="{E242E8C0-DDAC-4040-8BC2-D216814F1CBE}">
      <dgm:prSet phldrT="[Текст]" custT="1"/>
      <dgm:spPr>
        <a:xfrm>
          <a:off x="3134437" y="702058"/>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gm:spPr>
      <dgm:t>
        <a:bodyPr/>
        <a:lstStyle/>
        <a:p>
          <a:pPr algn="ctr">
            <a:lnSpc>
              <a:spcPct val="100000"/>
            </a:lnSpc>
            <a:spcBef>
              <a:spcPts val="0"/>
            </a:spcBef>
            <a:spcAft>
              <a:spcPts val="0"/>
            </a:spcAft>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 по стоимости сделки с вывозимыми товарами (метод 1)</a:t>
          </a:r>
        </a:p>
      </dgm:t>
    </dgm:pt>
    <dgm:pt modelId="{99E44CB5-16F7-4515-A3EE-2BBCC0A92915}" type="parTrans" cxnId="{931F2A78-DD28-4E48-B38C-71A429F54E6D}">
      <dgm:prSet/>
      <dgm:spPr>
        <a:xfrm rot="5400000">
          <a:off x="4491163" y="565659"/>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gm:spPr>
      <dgm:t>
        <a:bodyPr/>
        <a:lstStyle/>
        <a:p>
          <a:pPr algn="ctr">
            <a:lnSpc>
              <a:spcPct val="100000"/>
            </a:lnSpc>
            <a:spcBef>
              <a:spcPts val="0"/>
            </a:spcBef>
            <a:spcAft>
              <a:spcPts val="0"/>
            </a:spcAft>
          </a:pPr>
          <a:endParaRPr lang="ru-RU"/>
        </a:p>
      </dgm:t>
    </dgm:pt>
    <dgm:pt modelId="{071DE274-B556-46A7-99BC-5A0832934C65}" type="sibTrans" cxnId="{931F2A78-DD28-4E48-B38C-71A429F54E6D}">
      <dgm:prSet/>
      <dgm:spPr>
        <a:xfrm rot="5400000">
          <a:off x="4491163" y="1267139"/>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gm:spPr>
      <dgm:t>
        <a:bodyPr/>
        <a:lstStyle/>
        <a:p>
          <a:pPr algn="ctr">
            <a:lnSpc>
              <a:spcPct val="100000"/>
            </a:lnSpc>
            <a:spcBef>
              <a:spcPts val="0"/>
            </a:spcBef>
            <a:spcAft>
              <a:spcPts val="0"/>
            </a:spcAft>
          </a:pPr>
          <a:endParaRPr lang="ru-RU"/>
        </a:p>
      </dgm:t>
    </dgm:pt>
    <dgm:pt modelId="{96F495D8-7354-4DC9-980F-779F875CF436}">
      <dgm:prSet phldrT="[Текст]" custT="1"/>
      <dgm:spPr>
        <a:xfrm>
          <a:off x="39067" y="1403538"/>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gm:spPr>
      <dgm:t>
        <a:bodyPr/>
        <a:lstStyle/>
        <a:p>
          <a:pPr algn="ctr">
            <a:lnSpc>
              <a:spcPct val="100000"/>
            </a:lnSpc>
            <a:spcBef>
              <a:spcPts val="0"/>
            </a:spcBef>
            <a:spcAft>
              <a:spcPts val="0"/>
            </a:spcAft>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 по стоимости сделки с идентичными товарами (метод 2)</a:t>
          </a:r>
        </a:p>
      </dgm:t>
    </dgm:pt>
    <dgm:pt modelId="{C0A31EC6-C8DF-48CA-93D5-71ECB30042DD}" type="parTrans" cxnId="{C061F023-9B6F-40F4-8CF4-6B20E6F53F10}">
      <dgm:prSet/>
      <dgm:spPr/>
      <dgm:t>
        <a:bodyPr/>
        <a:lstStyle/>
        <a:p>
          <a:pPr algn="ctr">
            <a:lnSpc>
              <a:spcPct val="100000"/>
            </a:lnSpc>
            <a:spcBef>
              <a:spcPts val="0"/>
            </a:spcBef>
            <a:spcAft>
              <a:spcPts val="0"/>
            </a:spcAft>
          </a:pPr>
          <a:endParaRPr lang="ru-RU"/>
        </a:p>
      </dgm:t>
    </dgm:pt>
    <dgm:pt modelId="{05E669BF-DDC6-4C26-BC1D-217E41C6E8D8}" type="sibTrans" cxnId="{C061F023-9B6F-40F4-8CF4-6B20E6F53F10}">
      <dgm:prSet/>
      <dgm:spPr>
        <a:xfrm rot="5400000">
          <a:off x="1395793" y="1968620"/>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gm:spPr>
      <dgm:t>
        <a:bodyPr/>
        <a:lstStyle/>
        <a:p>
          <a:pPr algn="ctr">
            <a:lnSpc>
              <a:spcPct val="100000"/>
            </a:lnSpc>
            <a:spcBef>
              <a:spcPts val="0"/>
            </a:spcBef>
            <a:spcAft>
              <a:spcPts val="0"/>
            </a:spcAft>
          </a:pPr>
          <a:endParaRPr lang="ru-RU"/>
        </a:p>
      </dgm:t>
    </dgm:pt>
    <dgm:pt modelId="{E54BDFFC-6358-4CC3-9A4D-1126354A7116}">
      <dgm:prSet phldrT="[Текст]" custT="1"/>
      <dgm:spPr>
        <a:xfrm>
          <a:off x="39067" y="2806500"/>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gm:spPr>
      <dgm:t>
        <a:bodyPr/>
        <a:lstStyle/>
        <a:p>
          <a:pPr algn="ctr">
            <a:lnSpc>
              <a:spcPct val="100000"/>
            </a:lnSpc>
            <a:spcBef>
              <a:spcPts val="0"/>
            </a:spcBef>
            <a:spcAft>
              <a:spcPts val="0"/>
            </a:spcAft>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 вычитания ( 4 метод)</a:t>
          </a:r>
        </a:p>
      </dgm:t>
    </dgm:pt>
    <dgm:pt modelId="{8C5789EB-8E9D-4E83-B728-373C49C6F42F}" type="parTrans" cxnId="{38715B2F-A37C-401F-8D46-D318A41298EC}">
      <dgm:prSet/>
      <dgm:spPr/>
      <dgm:t>
        <a:bodyPr/>
        <a:lstStyle/>
        <a:p>
          <a:pPr algn="ctr">
            <a:lnSpc>
              <a:spcPct val="100000"/>
            </a:lnSpc>
            <a:spcBef>
              <a:spcPts val="0"/>
            </a:spcBef>
            <a:spcAft>
              <a:spcPts val="0"/>
            </a:spcAft>
          </a:pPr>
          <a:endParaRPr lang="ru-RU"/>
        </a:p>
      </dgm:t>
    </dgm:pt>
    <dgm:pt modelId="{F77D54EA-05D4-4226-A93E-0DB969D40964}" type="sibTrans" cxnId="{38715B2F-A37C-401F-8D46-D318A41298EC}">
      <dgm:prSet/>
      <dgm:spPr>
        <a:xfrm rot="5400000">
          <a:off x="1395793" y="3371582"/>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gm:spPr>
      <dgm:t>
        <a:bodyPr/>
        <a:lstStyle/>
        <a:p>
          <a:pPr algn="ctr">
            <a:lnSpc>
              <a:spcPct val="100000"/>
            </a:lnSpc>
            <a:spcBef>
              <a:spcPts val="0"/>
            </a:spcBef>
            <a:spcAft>
              <a:spcPts val="0"/>
            </a:spcAft>
          </a:pPr>
          <a:endParaRPr lang="ru-RU"/>
        </a:p>
      </dgm:t>
    </dgm:pt>
    <dgm:pt modelId="{AAB4171A-E0A3-4EEE-A838-C76864D9C178}">
      <dgm:prSet phldrT="[Текст]" custT="1"/>
      <dgm:spPr>
        <a:xfrm>
          <a:off x="39067" y="3507981"/>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gm:spPr>
      <dgm:t>
        <a:bodyPr/>
        <a:lstStyle/>
        <a:p>
          <a:pPr algn="ctr">
            <a:lnSpc>
              <a:spcPct val="100000"/>
            </a:lnSpc>
            <a:spcBef>
              <a:spcPts val="0"/>
            </a:spcBef>
            <a:spcAft>
              <a:spcPts val="0"/>
            </a:spcAft>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 сложения (метод 5)</a:t>
          </a:r>
        </a:p>
      </dgm:t>
    </dgm:pt>
    <dgm:pt modelId="{68913B20-4FF5-4EB6-ACD3-36D3CAD546B7}" type="parTrans" cxnId="{AE7E89D7-9C33-4FE9-B90D-71F88B7F72F6}">
      <dgm:prSet/>
      <dgm:spPr/>
      <dgm:t>
        <a:bodyPr/>
        <a:lstStyle/>
        <a:p>
          <a:pPr algn="ctr">
            <a:lnSpc>
              <a:spcPct val="100000"/>
            </a:lnSpc>
            <a:spcBef>
              <a:spcPts val="0"/>
            </a:spcBef>
            <a:spcAft>
              <a:spcPts val="0"/>
            </a:spcAft>
          </a:pPr>
          <a:endParaRPr lang="ru-RU"/>
        </a:p>
      </dgm:t>
    </dgm:pt>
    <dgm:pt modelId="{2E76552A-975C-407B-B89A-68EEE9D0601C}" type="sibTrans" cxnId="{AE7E89D7-9C33-4FE9-B90D-71F88B7F72F6}">
      <dgm:prSet/>
      <dgm:spPr>
        <a:xfrm rot="5400000">
          <a:off x="1395793" y="4073063"/>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gm:spPr>
      <dgm:t>
        <a:bodyPr/>
        <a:lstStyle/>
        <a:p>
          <a:pPr algn="ctr">
            <a:lnSpc>
              <a:spcPct val="100000"/>
            </a:lnSpc>
            <a:spcBef>
              <a:spcPts val="0"/>
            </a:spcBef>
            <a:spcAft>
              <a:spcPts val="0"/>
            </a:spcAft>
          </a:pPr>
          <a:endParaRPr lang="ru-RU"/>
        </a:p>
      </dgm:t>
    </dgm:pt>
    <dgm:pt modelId="{F982F725-4D46-4421-BBCD-59EC9015637D}">
      <dgm:prSet phldrT="[Текст]" custT="1"/>
      <dgm:spPr>
        <a:xfrm>
          <a:off x="39067" y="4209462"/>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gm:spPr>
      <dgm:t>
        <a:bodyPr/>
        <a:lstStyle/>
        <a:p>
          <a:pPr algn="ctr">
            <a:lnSpc>
              <a:spcPct val="100000"/>
            </a:lnSpc>
            <a:spcBef>
              <a:spcPts val="0"/>
            </a:spcBef>
            <a:spcAft>
              <a:spcPts val="0"/>
            </a:spcAft>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Резервный метод (метод 6)</a:t>
          </a:r>
        </a:p>
      </dgm:t>
    </dgm:pt>
    <dgm:pt modelId="{06F57494-41C0-4DE9-AD7F-F9739B98D090}" type="parTrans" cxnId="{E984AAF9-8254-44CF-94AC-55E9548F59B7}">
      <dgm:prSet/>
      <dgm:spPr/>
      <dgm:t>
        <a:bodyPr/>
        <a:lstStyle/>
        <a:p>
          <a:pPr algn="ctr">
            <a:lnSpc>
              <a:spcPct val="100000"/>
            </a:lnSpc>
            <a:spcBef>
              <a:spcPts val="0"/>
            </a:spcBef>
            <a:spcAft>
              <a:spcPts val="0"/>
            </a:spcAft>
          </a:pPr>
          <a:endParaRPr lang="ru-RU"/>
        </a:p>
      </dgm:t>
    </dgm:pt>
    <dgm:pt modelId="{CAE541E6-31EA-4652-9961-C7805228DC06}" type="sibTrans" cxnId="{E984AAF9-8254-44CF-94AC-55E9548F59B7}">
      <dgm:prSet/>
      <dgm:spPr/>
      <dgm:t>
        <a:bodyPr/>
        <a:lstStyle/>
        <a:p>
          <a:pPr algn="ctr">
            <a:lnSpc>
              <a:spcPct val="100000"/>
            </a:lnSpc>
            <a:spcBef>
              <a:spcPts val="0"/>
            </a:spcBef>
            <a:spcAft>
              <a:spcPts val="0"/>
            </a:spcAft>
          </a:pPr>
          <a:endParaRPr lang="ru-RU"/>
        </a:p>
      </dgm:t>
    </dgm:pt>
    <dgm:pt modelId="{84B7C825-5866-4CA7-8F05-3C80AEEC1A52}">
      <dgm:prSet phldrT="[Текст]" custT="1"/>
      <dgm:spPr>
        <a:xfrm>
          <a:off x="3134437" y="1403538"/>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gm:spPr>
      <dgm:t>
        <a:bodyPr/>
        <a:lstStyle/>
        <a:p>
          <a:pPr algn="ctr">
            <a:lnSpc>
              <a:spcPct val="100000"/>
            </a:lnSpc>
            <a:spcBef>
              <a:spcPts val="0"/>
            </a:spcBef>
            <a:spcAft>
              <a:spcPts val="0"/>
            </a:spcAft>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 по стоимости сделки с идентичными товарами (метод 2)</a:t>
          </a:r>
        </a:p>
      </dgm:t>
    </dgm:pt>
    <dgm:pt modelId="{B5B1B427-84C5-436C-A136-05FBCB00A60C}" type="parTrans" cxnId="{5D7DE38C-CC59-4799-A6B4-F14CD1ECC494}">
      <dgm:prSet/>
      <dgm:spPr/>
      <dgm:t>
        <a:bodyPr/>
        <a:lstStyle/>
        <a:p>
          <a:pPr algn="ctr">
            <a:lnSpc>
              <a:spcPct val="100000"/>
            </a:lnSpc>
            <a:spcBef>
              <a:spcPts val="0"/>
            </a:spcBef>
            <a:spcAft>
              <a:spcPts val="0"/>
            </a:spcAft>
          </a:pPr>
          <a:endParaRPr lang="ru-RU"/>
        </a:p>
      </dgm:t>
    </dgm:pt>
    <dgm:pt modelId="{50DEC19A-EB96-4065-8F4B-1F4ECB1C41EF}" type="sibTrans" cxnId="{5D7DE38C-CC59-4799-A6B4-F14CD1ECC494}">
      <dgm:prSet/>
      <dgm:spPr>
        <a:xfrm rot="5400000">
          <a:off x="4491163" y="1968620"/>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gm:spPr>
      <dgm:t>
        <a:bodyPr/>
        <a:lstStyle/>
        <a:p>
          <a:pPr algn="ctr">
            <a:lnSpc>
              <a:spcPct val="100000"/>
            </a:lnSpc>
            <a:spcBef>
              <a:spcPts val="0"/>
            </a:spcBef>
            <a:spcAft>
              <a:spcPts val="0"/>
            </a:spcAft>
          </a:pPr>
          <a:endParaRPr lang="ru-RU"/>
        </a:p>
      </dgm:t>
    </dgm:pt>
    <dgm:pt modelId="{F79B8293-6470-426C-BEC2-2491280D35BB}">
      <dgm:prSet phldrT="[Текст]" custT="1"/>
      <dgm:spPr>
        <a:xfrm>
          <a:off x="3134437" y="2105019"/>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gm:spPr>
      <dgm:t>
        <a:bodyPr/>
        <a:lstStyle/>
        <a:p>
          <a:pPr algn="ctr">
            <a:lnSpc>
              <a:spcPct val="100000"/>
            </a:lnSpc>
            <a:spcBef>
              <a:spcPts val="0"/>
            </a:spcBef>
            <a:spcAft>
              <a:spcPts val="0"/>
            </a:spcAft>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 по стоимости сделки с однородными товарами (метод 3)</a:t>
          </a:r>
        </a:p>
      </dgm:t>
    </dgm:pt>
    <dgm:pt modelId="{EE98DD3C-FF1C-4459-AF7D-7741D3738267}" type="parTrans" cxnId="{1E1DC1C5-8FCC-4497-B33C-F7B6EF0C436A}">
      <dgm:prSet/>
      <dgm:spPr/>
      <dgm:t>
        <a:bodyPr/>
        <a:lstStyle/>
        <a:p>
          <a:pPr algn="ctr">
            <a:lnSpc>
              <a:spcPct val="100000"/>
            </a:lnSpc>
            <a:spcBef>
              <a:spcPts val="0"/>
            </a:spcBef>
            <a:spcAft>
              <a:spcPts val="0"/>
            </a:spcAft>
          </a:pPr>
          <a:endParaRPr lang="ru-RU"/>
        </a:p>
      </dgm:t>
    </dgm:pt>
    <dgm:pt modelId="{4FABA9CA-AEF9-40F9-B64A-E796097F54E7}" type="sibTrans" cxnId="{1E1DC1C5-8FCC-4497-B33C-F7B6EF0C436A}">
      <dgm:prSet/>
      <dgm:spPr>
        <a:xfrm rot="5400000">
          <a:off x="4491163" y="2670101"/>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gm:spPr>
      <dgm:t>
        <a:bodyPr/>
        <a:lstStyle/>
        <a:p>
          <a:pPr algn="ctr">
            <a:lnSpc>
              <a:spcPct val="100000"/>
            </a:lnSpc>
            <a:spcBef>
              <a:spcPts val="0"/>
            </a:spcBef>
            <a:spcAft>
              <a:spcPts val="0"/>
            </a:spcAft>
          </a:pPr>
          <a:endParaRPr lang="ru-RU"/>
        </a:p>
      </dgm:t>
    </dgm:pt>
    <dgm:pt modelId="{739C5B45-6106-48AA-8448-4A129D9E42A9}">
      <dgm:prSet phldrT="[Текст]" custT="1"/>
      <dgm:spPr>
        <a:xfrm>
          <a:off x="3134437" y="2806500"/>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gm:spPr>
      <dgm:t>
        <a:bodyPr/>
        <a:lstStyle/>
        <a:p>
          <a:pPr algn="ctr">
            <a:lnSpc>
              <a:spcPct val="100000"/>
            </a:lnSpc>
            <a:spcBef>
              <a:spcPts val="0"/>
            </a:spcBef>
            <a:spcAft>
              <a:spcPts val="0"/>
            </a:spcAft>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 сложения (метод 5)</a:t>
          </a:r>
        </a:p>
      </dgm:t>
    </dgm:pt>
    <dgm:pt modelId="{F7B7CF3C-0471-4DB2-99C6-122B78FCCD1F}" type="parTrans" cxnId="{31AB59BE-1FF5-4CF8-B9B9-359CC6616246}">
      <dgm:prSet/>
      <dgm:spPr/>
      <dgm:t>
        <a:bodyPr/>
        <a:lstStyle/>
        <a:p>
          <a:pPr algn="ctr">
            <a:lnSpc>
              <a:spcPct val="100000"/>
            </a:lnSpc>
            <a:spcBef>
              <a:spcPts val="0"/>
            </a:spcBef>
            <a:spcAft>
              <a:spcPts val="0"/>
            </a:spcAft>
          </a:pPr>
          <a:endParaRPr lang="ru-RU"/>
        </a:p>
      </dgm:t>
    </dgm:pt>
    <dgm:pt modelId="{68021A3F-00AC-4589-8312-1B79181D916F}" type="sibTrans" cxnId="{31AB59BE-1FF5-4CF8-B9B9-359CC6616246}">
      <dgm:prSet/>
      <dgm:spPr>
        <a:xfrm rot="5400000">
          <a:off x="4491163" y="3371582"/>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gm:spPr>
      <dgm:t>
        <a:bodyPr/>
        <a:lstStyle/>
        <a:p>
          <a:pPr algn="ctr">
            <a:lnSpc>
              <a:spcPct val="100000"/>
            </a:lnSpc>
            <a:spcBef>
              <a:spcPts val="0"/>
            </a:spcBef>
            <a:spcAft>
              <a:spcPts val="0"/>
            </a:spcAft>
          </a:pPr>
          <a:endParaRPr lang="ru-RU"/>
        </a:p>
      </dgm:t>
    </dgm:pt>
    <dgm:pt modelId="{CDB70A4C-7048-4B3D-93C2-5E475E36135E}">
      <dgm:prSet phldrT="[Текст]" custT="1"/>
      <dgm:spPr>
        <a:xfrm>
          <a:off x="3134437" y="3507981"/>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gm:spPr>
      <dgm:t>
        <a:bodyPr/>
        <a:lstStyle/>
        <a:p>
          <a:pPr algn="ctr">
            <a:lnSpc>
              <a:spcPct val="100000"/>
            </a:lnSpc>
            <a:spcBef>
              <a:spcPts val="0"/>
            </a:spcBef>
            <a:spcAft>
              <a:spcPts val="0"/>
            </a:spcAft>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Резервный метод (метод 6)</a:t>
          </a:r>
        </a:p>
      </dgm:t>
    </dgm:pt>
    <dgm:pt modelId="{116303B2-9F7E-404F-94A5-D2FDA157F959}" type="parTrans" cxnId="{B9C425F1-13D7-4A35-9C63-E4DD22AABA63}">
      <dgm:prSet/>
      <dgm:spPr/>
      <dgm:t>
        <a:bodyPr/>
        <a:lstStyle/>
        <a:p>
          <a:pPr algn="ctr">
            <a:lnSpc>
              <a:spcPct val="100000"/>
            </a:lnSpc>
            <a:spcBef>
              <a:spcPts val="0"/>
            </a:spcBef>
            <a:spcAft>
              <a:spcPts val="0"/>
            </a:spcAft>
          </a:pPr>
          <a:endParaRPr lang="ru-RU"/>
        </a:p>
      </dgm:t>
    </dgm:pt>
    <dgm:pt modelId="{A7AC701D-C6F0-40AB-B157-D65C19C152EE}" type="sibTrans" cxnId="{B9C425F1-13D7-4A35-9C63-E4DD22AABA63}">
      <dgm:prSet/>
      <dgm:spPr/>
      <dgm:t>
        <a:bodyPr/>
        <a:lstStyle/>
        <a:p>
          <a:pPr algn="ctr">
            <a:lnSpc>
              <a:spcPct val="100000"/>
            </a:lnSpc>
            <a:spcBef>
              <a:spcPts val="0"/>
            </a:spcBef>
            <a:spcAft>
              <a:spcPts val="0"/>
            </a:spcAft>
          </a:pPr>
          <a:endParaRPr lang="ru-RU"/>
        </a:p>
      </dgm:t>
    </dgm:pt>
    <dgm:pt modelId="{41EB9399-DDC1-45FD-A439-BE0B0A606A90}" type="pres">
      <dgm:prSet presAssocID="{90250EB1-9150-4536-9DAD-AE2E43F5BEA2}" presName="Name0" presStyleCnt="0">
        <dgm:presLayoutVars>
          <dgm:dir/>
          <dgm:animLvl val="lvl"/>
          <dgm:resizeHandles val="exact"/>
        </dgm:presLayoutVars>
      </dgm:prSet>
      <dgm:spPr/>
    </dgm:pt>
    <dgm:pt modelId="{38C58BEE-A26B-4D30-BEFF-2915A13EDB94}" type="pres">
      <dgm:prSet presAssocID="{D600848E-5A23-41A4-B95A-ACE2F3BDABBA}" presName="vertFlow" presStyleCnt="0"/>
      <dgm:spPr/>
    </dgm:pt>
    <dgm:pt modelId="{F6C98437-E0F7-4B61-8BE6-D34DC54FC50B}" type="pres">
      <dgm:prSet presAssocID="{D600848E-5A23-41A4-B95A-ACE2F3BDABBA}" presName="header" presStyleLbl="node1" presStyleIdx="0" presStyleCnt="2" custScaleX="134926"/>
      <dgm:spPr/>
    </dgm:pt>
    <dgm:pt modelId="{F5B6BB48-9C1E-4660-B44C-EF109B8ED438}" type="pres">
      <dgm:prSet presAssocID="{EE3E5E3F-FD91-440E-B31E-2BD3C80335F8}" presName="parTrans" presStyleLbl="sibTrans2D1" presStyleIdx="0" presStyleCnt="11"/>
      <dgm:spPr/>
    </dgm:pt>
    <dgm:pt modelId="{2D263D71-4774-4B94-99AA-328F73C1F905}" type="pres">
      <dgm:prSet presAssocID="{5C66DE8F-9503-4C6D-A407-037D47111A9D}" presName="child" presStyleLbl="alignAccFollowNode1" presStyleIdx="0" presStyleCnt="11" custScaleX="134926">
        <dgm:presLayoutVars>
          <dgm:chMax val="0"/>
          <dgm:bulletEnabled val="1"/>
        </dgm:presLayoutVars>
      </dgm:prSet>
      <dgm:spPr/>
    </dgm:pt>
    <dgm:pt modelId="{EB8C6677-08D4-4C9B-AF00-0EF8A867F0EC}" type="pres">
      <dgm:prSet presAssocID="{10B60656-BCDD-42AA-B90A-1F02F3063BC7}" presName="sibTrans" presStyleLbl="sibTrans2D1" presStyleIdx="1" presStyleCnt="11"/>
      <dgm:spPr/>
    </dgm:pt>
    <dgm:pt modelId="{1B051E1C-F434-497C-BAD9-F5310BE8E974}" type="pres">
      <dgm:prSet presAssocID="{96F495D8-7354-4DC9-980F-779F875CF436}" presName="child" presStyleLbl="alignAccFollowNode1" presStyleIdx="1" presStyleCnt="11" custScaleX="134926">
        <dgm:presLayoutVars>
          <dgm:chMax val="0"/>
          <dgm:bulletEnabled val="1"/>
        </dgm:presLayoutVars>
      </dgm:prSet>
      <dgm:spPr/>
    </dgm:pt>
    <dgm:pt modelId="{54B2F217-9BBD-4F4B-A656-C914C0D11FCC}" type="pres">
      <dgm:prSet presAssocID="{05E669BF-DDC6-4C26-BC1D-217E41C6E8D8}" presName="sibTrans" presStyleLbl="sibTrans2D1" presStyleIdx="2" presStyleCnt="11"/>
      <dgm:spPr/>
    </dgm:pt>
    <dgm:pt modelId="{64FBDA10-2838-490B-A637-F9565C19F0C8}" type="pres">
      <dgm:prSet presAssocID="{36E7D820-826D-46DC-B18E-09D07505476E}" presName="child" presStyleLbl="alignAccFollowNode1" presStyleIdx="2" presStyleCnt="11" custScaleX="134926">
        <dgm:presLayoutVars>
          <dgm:chMax val="0"/>
          <dgm:bulletEnabled val="1"/>
        </dgm:presLayoutVars>
      </dgm:prSet>
      <dgm:spPr/>
    </dgm:pt>
    <dgm:pt modelId="{8D834095-F5D2-4B87-BFBC-725D07A22B8C}" type="pres">
      <dgm:prSet presAssocID="{8B0D5E68-0EB5-46BB-A501-FD1E578C72D8}" presName="sibTrans" presStyleLbl="sibTrans2D1" presStyleIdx="3" presStyleCnt="11"/>
      <dgm:spPr/>
    </dgm:pt>
    <dgm:pt modelId="{64D29A4C-9F22-49DB-A7E9-B4046003DD1E}" type="pres">
      <dgm:prSet presAssocID="{E54BDFFC-6358-4CC3-9A4D-1126354A7116}" presName="child" presStyleLbl="alignAccFollowNode1" presStyleIdx="3" presStyleCnt="11" custScaleX="134926">
        <dgm:presLayoutVars>
          <dgm:chMax val="0"/>
          <dgm:bulletEnabled val="1"/>
        </dgm:presLayoutVars>
      </dgm:prSet>
      <dgm:spPr/>
    </dgm:pt>
    <dgm:pt modelId="{92BD948C-81C1-4072-B880-F93AB36F59B0}" type="pres">
      <dgm:prSet presAssocID="{F77D54EA-05D4-4226-A93E-0DB969D40964}" presName="sibTrans" presStyleLbl="sibTrans2D1" presStyleIdx="4" presStyleCnt="11"/>
      <dgm:spPr/>
    </dgm:pt>
    <dgm:pt modelId="{3F977F0E-A2CE-4E33-8377-FF4E6A7CF585}" type="pres">
      <dgm:prSet presAssocID="{AAB4171A-E0A3-4EEE-A838-C76864D9C178}" presName="child" presStyleLbl="alignAccFollowNode1" presStyleIdx="4" presStyleCnt="11" custScaleX="134926">
        <dgm:presLayoutVars>
          <dgm:chMax val="0"/>
          <dgm:bulletEnabled val="1"/>
        </dgm:presLayoutVars>
      </dgm:prSet>
      <dgm:spPr/>
    </dgm:pt>
    <dgm:pt modelId="{F0DE3BC6-858D-4D8E-9F10-466F3B6AFB42}" type="pres">
      <dgm:prSet presAssocID="{2E76552A-975C-407B-B89A-68EEE9D0601C}" presName="sibTrans" presStyleLbl="sibTrans2D1" presStyleIdx="5" presStyleCnt="11"/>
      <dgm:spPr/>
    </dgm:pt>
    <dgm:pt modelId="{2017DF1D-833C-4CCB-8072-F5DCED991E35}" type="pres">
      <dgm:prSet presAssocID="{F982F725-4D46-4421-BBCD-59EC9015637D}" presName="child" presStyleLbl="alignAccFollowNode1" presStyleIdx="5" presStyleCnt="11" custScaleX="134926">
        <dgm:presLayoutVars>
          <dgm:chMax val="0"/>
          <dgm:bulletEnabled val="1"/>
        </dgm:presLayoutVars>
      </dgm:prSet>
      <dgm:spPr/>
    </dgm:pt>
    <dgm:pt modelId="{C6D2BB3A-04DB-4CA2-8A10-63CF7807716E}" type="pres">
      <dgm:prSet presAssocID="{D600848E-5A23-41A4-B95A-ACE2F3BDABBA}" presName="hSp" presStyleCnt="0"/>
      <dgm:spPr/>
    </dgm:pt>
    <dgm:pt modelId="{EA70EDE9-790F-4D2D-B0C2-4EC7547D81DB}" type="pres">
      <dgm:prSet presAssocID="{B664F8E1-9766-4A38-A4BA-AC89D6E1E735}" presName="vertFlow" presStyleCnt="0"/>
      <dgm:spPr/>
    </dgm:pt>
    <dgm:pt modelId="{430CD3F8-E1CF-4901-A754-2E63B53F6F8B}" type="pres">
      <dgm:prSet presAssocID="{B664F8E1-9766-4A38-A4BA-AC89D6E1E735}" presName="header" presStyleLbl="node1" presStyleIdx="1" presStyleCnt="2" custScaleX="134926"/>
      <dgm:spPr/>
    </dgm:pt>
    <dgm:pt modelId="{4B1D614C-E7EB-4C30-B485-B6793B0FDA1C}" type="pres">
      <dgm:prSet presAssocID="{99E44CB5-16F7-4515-A3EE-2BBCC0A92915}" presName="parTrans" presStyleLbl="sibTrans2D1" presStyleIdx="6" presStyleCnt="11"/>
      <dgm:spPr/>
    </dgm:pt>
    <dgm:pt modelId="{ED85B535-FDD6-414D-84AB-BBBEA3E23B39}" type="pres">
      <dgm:prSet presAssocID="{E242E8C0-DDAC-4040-8BC2-D216814F1CBE}" presName="child" presStyleLbl="alignAccFollowNode1" presStyleIdx="6" presStyleCnt="11" custScaleX="134926">
        <dgm:presLayoutVars>
          <dgm:chMax val="0"/>
          <dgm:bulletEnabled val="1"/>
        </dgm:presLayoutVars>
      </dgm:prSet>
      <dgm:spPr/>
    </dgm:pt>
    <dgm:pt modelId="{E4E1A390-2B22-42EA-864D-41B653991E3A}" type="pres">
      <dgm:prSet presAssocID="{071DE274-B556-46A7-99BC-5A0832934C65}" presName="sibTrans" presStyleLbl="sibTrans2D1" presStyleIdx="7" presStyleCnt="11"/>
      <dgm:spPr/>
    </dgm:pt>
    <dgm:pt modelId="{99506F58-404F-433F-A59D-72D986FF5002}" type="pres">
      <dgm:prSet presAssocID="{84B7C825-5866-4CA7-8F05-3C80AEEC1A52}" presName="child" presStyleLbl="alignAccFollowNode1" presStyleIdx="7" presStyleCnt="11" custScaleX="134926">
        <dgm:presLayoutVars>
          <dgm:chMax val="0"/>
          <dgm:bulletEnabled val="1"/>
        </dgm:presLayoutVars>
      </dgm:prSet>
      <dgm:spPr/>
    </dgm:pt>
    <dgm:pt modelId="{FC6B1880-3146-40A8-AB14-8A5A1D756DA3}" type="pres">
      <dgm:prSet presAssocID="{50DEC19A-EB96-4065-8F4B-1F4ECB1C41EF}" presName="sibTrans" presStyleLbl="sibTrans2D1" presStyleIdx="8" presStyleCnt="11"/>
      <dgm:spPr/>
    </dgm:pt>
    <dgm:pt modelId="{44F8684E-03A6-40EE-A996-D351C234EDDD}" type="pres">
      <dgm:prSet presAssocID="{F79B8293-6470-426C-BEC2-2491280D35BB}" presName="child" presStyleLbl="alignAccFollowNode1" presStyleIdx="8" presStyleCnt="11" custScaleX="134926">
        <dgm:presLayoutVars>
          <dgm:chMax val="0"/>
          <dgm:bulletEnabled val="1"/>
        </dgm:presLayoutVars>
      </dgm:prSet>
      <dgm:spPr/>
    </dgm:pt>
    <dgm:pt modelId="{AF6F9E1E-9D3F-4F1A-99DA-F5A55844534C}" type="pres">
      <dgm:prSet presAssocID="{4FABA9CA-AEF9-40F9-B64A-E796097F54E7}" presName="sibTrans" presStyleLbl="sibTrans2D1" presStyleIdx="9" presStyleCnt="11"/>
      <dgm:spPr/>
    </dgm:pt>
    <dgm:pt modelId="{31A6301E-83E7-48D5-AF68-2EA0982AE6CF}" type="pres">
      <dgm:prSet presAssocID="{739C5B45-6106-48AA-8448-4A129D9E42A9}" presName="child" presStyleLbl="alignAccFollowNode1" presStyleIdx="9" presStyleCnt="11" custScaleX="134926">
        <dgm:presLayoutVars>
          <dgm:chMax val="0"/>
          <dgm:bulletEnabled val="1"/>
        </dgm:presLayoutVars>
      </dgm:prSet>
      <dgm:spPr/>
    </dgm:pt>
    <dgm:pt modelId="{A1367F4A-812B-4F11-AEC5-B836CB788876}" type="pres">
      <dgm:prSet presAssocID="{68021A3F-00AC-4589-8312-1B79181D916F}" presName="sibTrans" presStyleLbl="sibTrans2D1" presStyleIdx="10" presStyleCnt="11"/>
      <dgm:spPr/>
    </dgm:pt>
    <dgm:pt modelId="{560C9EA6-38A0-4271-90DF-6F0B68A6A971}" type="pres">
      <dgm:prSet presAssocID="{CDB70A4C-7048-4B3D-93C2-5E475E36135E}" presName="child" presStyleLbl="alignAccFollowNode1" presStyleIdx="10" presStyleCnt="11" custScaleX="134926">
        <dgm:presLayoutVars>
          <dgm:chMax val="0"/>
          <dgm:bulletEnabled val="1"/>
        </dgm:presLayoutVars>
      </dgm:prSet>
      <dgm:spPr/>
    </dgm:pt>
  </dgm:ptLst>
  <dgm:cxnLst>
    <dgm:cxn modelId="{B7FC6100-9771-4C1A-8ABA-318F9E7A99D7}" type="presOf" srcId="{50DEC19A-EB96-4065-8F4B-1F4ECB1C41EF}" destId="{FC6B1880-3146-40A8-AB14-8A5A1D756DA3}" srcOrd="0" destOrd="0" presId="urn:microsoft.com/office/officeart/2005/8/layout/lProcess1"/>
    <dgm:cxn modelId="{A30ACC0C-4B54-4E7E-9EA3-F4A0C7369E59}" type="presOf" srcId="{5C66DE8F-9503-4C6D-A407-037D47111A9D}" destId="{2D263D71-4774-4B94-99AA-328F73C1F905}" srcOrd="0" destOrd="0" presId="urn:microsoft.com/office/officeart/2005/8/layout/lProcess1"/>
    <dgm:cxn modelId="{2C85391C-0E12-4539-A846-AEBD5266A501}" type="presOf" srcId="{4FABA9CA-AEF9-40F9-B64A-E796097F54E7}" destId="{AF6F9E1E-9D3F-4F1A-99DA-F5A55844534C}" srcOrd="0" destOrd="0" presId="urn:microsoft.com/office/officeart/2005/8/layout/lProcess1"/>
    <dgm:cxn modelId="{F905DE1D-6A17-4D47-A28D-D451ABADC36B}" type="presOf" srcId="{E242E8C0-DDAC-4040-8BC2-D216814F1CBE}" destId="{ED85B535-FDD6-414D-84AB-BBBEA3E23B39}" srcOrd="0" destOrd="0" presId="urn:microsoft.com/office/officeart/2005/8/layout/lProcess1"/>
    <dgm:cxn modelId="{C061F023-9B6F-40F4-8CF4-6B20E6F53F10}" srcId="{D600848E-5A23-41A4-B95A-ACE2F3BDABBA}" destId="{96F495D8-7354-4DC9-980F-779F875CF436}" srcOrd="1" destOrd="0" parTransId="{C0A31EC6-C8DF-48CA-93D5-71ECB30042DD}" sibTransId="{05E669BF-DDC6-4C26-BC1D-217E41C6E8D8}"/>
    <dgm:cxn modelId="{21CF142A-9768-4210-8C81-BE94DC4A8A2D}" type="presOf" srcId="{99E44CB5-16F7-4515-A3EE-2BBCC0A92915}" destId="{4B1D614C-E7EB-4C30-B485-B6793B0FDA1C}" srcOrd="0" destOrd="0" presId="urn:microsoft.com/office/officeart/2005/8/layout/lProcess1"/>
    <dgm:cxn modelId="{38715B2F-A37C-401F-8D46-D318A41298EC}" srcId="{D600848E-5A23-41A4-B95A-ACE2F3BDABBA}" destId="{E54BDFFC-6358-4CC3-9A4D-1126354A7116}" srcOrd="3" destOrd="0" parTransId="{8C5789EB-8E9D-4E83-B728-373C49C6F42F}" sibTransId="{F77D54EA-05D4-4226-A93E-0DB969D40964}"/>
    <dgm:cxn modelId="{7C625D30-C6AB-4680-AE12-CFCF8AECE99D}" type="presOf" srcId="{10B60656-BCDD-42AA-B90A-1F02F3063BC7}" destId="{EB8C6677-08D4-4C9B-AF00-0EF8A867F0EC}" srcOrd="0" destOrd="0" presId="urn:microsoft.com/office/officeart/2005/8/layout/lProcess1"/>
    <dgm:cxn modelId="{A538C232-803A-4F03-AFFE-AA6A1AB05E17}" type="presOf" srcId="{071DE274-B556-46A7-99BC-5A0832934C65}" destId="{E4E1A390-2B22-42EA-864D-41B653991E3A}" srcOrd="0" destOrd="0" presId="urn:microsoft.com/office/officeart/2005/8/layout/lProcess1"/>
    <dgm:cxn modelId="{2CEC9A38-E6E2-49C3-9257-36F69CD751BF}" srcId="{D600848E-5A23-41A4-B95A-ACE2F3BDABBA}" destId="{36E7D820-826D-46DC-B18E-09D07505476E}" srcOrd="2" destOrd="0" parTransId="{BF2DA9B5-3BCB-4C21-9FC7-FA8FE6EB141B}" sibTransId="{8B0D5E68-0EB5-46BB-A501-FD1E578C72D8}"/>
    <dgm:cxn modelId="{1FDAF947-5F54-4CE1-B7F3-C4392CB9CCC8}" type="presOf" srcId="{CDB70A4C-7048-4B3D-93C2-5E475E36135E}" destId="{560C9EA6-38A0-4271-90DF-6F0B68A6A971}" srcOrd="0" destOrd="0" presId="urn:microsoft.com/office/officeart/2005/8/layout/lProcess1"/>
    <dgm:cxn modelId="{4453345D-02B8-4724-9E95-AB5C1AA66E49}" type="presOf" srcId="{F79B8293-6470-426C-BEC2-2491280D35BB}" destId="{44F8684E-03A6-40EE-A996-D351C234EDDD}" srcOrd="0" destOrd="0" presId="urn:microsoft.com/office/officeart/2005/8/layout/lProcess1"/>
    <dgm:cxn modelId="{BA1BFC5F-4B15-447C-A018-1802DBACF615}" srcId="{D600848E-5A23-41A4-B95A-ACE2F3BDABBA}" destId="{5C66DE8F-9503-4C6D-A407-037D47111A9D}" srcOrd="0" destOrd="0" parTransId="{EE3E5E3F-FD91-440E-B31E-2BD3C80335F8}" sibTransId="{10B60656-BCDD-42AA-B90A-1F02F3063BC7}"/>
    <dgm:cxn modelId="{9980CB61-5955-4E94-AE10-C1ACBFD57246}" type="presOf" srcId="{8B0D5E68-0EB5-46BB-A501-FD1E578C72D8}" destId="{8D834095-F5D2-4B87-BFBC-725D07A22B8C}" srcOrd="0" destOrd="0" presId="urn:microsoft.com/office/officeart/2005/8/layout/lProcess1"/>
    <dgm:cxn modelId="{BA52196A-926B-4271-82F5-F8591DCF4B91}" type="presOf" srcId="{F77D54EA-05D4-4226-A93E-0DB969D40964}" destId="{92BD948C-81C1-4072-B880-F93AB36F59B0}" srcOrd="0" destOrd="0" presId="urn:microsoft.com/office/officeart/2005/8/layout/lProcess1"/>
    <dgm:cxn modelId="{931F2A78-DD28-4E48-B38C-71A429F54E6D}" srcId="{B664F8E1-9766-4A38-A4BA-AC89D6E1E735}" destId="{E242E8C0-DDAC-4040-8BC2-D216814F1CBE}" srcOrd="0" destOrd="0" parTransId="{99E44CB5-16F7-4515-A3EE-2BBCC0A92915}" sibTransId="{071DE274-B556-46A7-99BC-5A0832934C65}"/>
    <dgm:cxn modelId="{45A43087-1029-4D8D-A7DF-87FE319A9D96}" type="presOf" srcId="{EE3E5E3F-FD91-440E-B31E-2BD3C80335F8}" destId="{F5B6BB48-9C1E-4660-B44C-EF109B8ED438}" srcOrd="0" destOrd="0" presId="urn:microsoft.com/office/officeart/2005/8/layout/lProcess1"/>
    <dgm:cxn modelId="{5D7DE38C-CC59-4799-A6B4-F14CD1ECC494}" srcId="{B664F8E1-9766-4A38-A4BA-AC89D6E1E735}" destId="{84B7C825-5866-4CA7-8F05-3C80AEEC1A52}" srcOrd="1" destOrd="0" parTransId="{B5B1B427-84C5-436C-A136-05FBCB00A60C}" sibTransId="{50DEC19A-EB96-4065-8F4B-1F4ECB1C41EF}"/>
    <dgm:cxn modelId="{22575190-CB86-4A30-8415-05008AC7D96D}" type="presOf" srcId="{36E7D820-826D-46DC-B18E-09D07505476E}" destId="{64FBDA10-2838-490B-A637-F9565C19F0C8}" srcOrd="0" destOrd="0" presId="urn:microsoft.com/office/officeart/2005/8/layout/lProcess1"/>
    <dgm:cxn modelId="{EB5E0997-3D0E-40EA-BBB1-5FB15688DDC9}" type="presOf" srcId="{2E76552A-975C-407B-B89A-68EEE9D0601C}" destId="{F0DE3BC6-858D-4D8E-9F10-466F3B6AFB42}" srcOrd="0" destOrd="0" presId="urn:microsoft.com/office/officeart/2005/8/layout/lProcess1"/>
    <dgm:cxn modelId="{B25A7AA0-B72E-4826-BE0D-B7BF1C5C10BA}" type="presOf" srcId="{96F495D8-7354-4DC9-980F-779F875CF436}" destId="{1B051E1C-F434-497C-BAD9-F5310BE8E974}" srcOrd="0" destOrd="0" presId="urn:microsoft.com/office/officeart/2005/8/layout/lProcess1"/>
    <dgm:cxn modelId="{3FBC26A9-81C2-4703-B9E3-71785557A842}" srcId="{90250EB1-9150-4536-9DAD-AE2E43F5BEA2}" destId="{B664F8E1-9766-4A38-A4BA-AC89D6E1E735}" srcOrd="1" destOrd="0" parTransId="{36E1EB66-FD32-4A45-8085-915FDC30B8C9}" sibTransId="{8A6A55A7-B1D2-4788-8914-F2F1F9F90075}"/>
    <dgm:cxn modelId="{A611BBBA-C629-4F27-996D-30619A7AC883}" srcId="{90250EB1-9150-4536-9DAD-AE2E43F5BEA2}" destId="{D600848E-5A23-41A4-B95A-ACE2F3BDABBA}" srcOrd="0" destOrd="0" parTransId="{1E8E995E-A86D-4C48-9852-66C7C8697BBD}" sibTransId="{DC728429-9EEF-4439-85E4-BDF78944A7D9}"/>
    <dgm:cxn modelId="{E0B111BC-1960-4E39-9A79-A6AD013869C5}" type="presOf" srcId="{AAB4171A-E0A3-4EEE-A838-C76864D9C178}" destId="{3F977F0E-A2CE-4E33-8377-FF4E6A7CF585}" srcOrd="0" destOrd="0" presId="urn:microsoft.com/office/officeart/2005/8/layout/lProcess1"/>
    <dgm:cxn modelId="{31AB59BE-1FF5-4CF8-B9B9-359CC6616246}" srcId="{B664F8E1-9766-4A38-A4BA-AC89D6E1E735}" destId="{739C5B45-6106-48AA-8448-4A129D9E42A9}" srcOrd="3" destOrd="0" parTransId="{F7B7CF3C-0471-4DB2-99C6-122B78FCCD1F}" sibTransId="{68021A3F-00AC-4589-8312-1B79181D916F}"/>
    <dgm:cxn modelId="{1E1DC1C5-8FCC-4497-B33C-F7B6EF0C436A}" srcId="{B664F8E1-9766-4A38-A4BA-AC89D6E1E735}" destId="{F79B8293-6470-426C-BEC2-2491280D35BB}" srcOrd="2" destOrd="0" parTransId="{EE98DD3C-FF1C-4459-AF7D-7741D3738267}" sibTransId="{4FABA9CA-AEF9-40F9-B64A-E796097F54E7}"/>
    <dgm:cxn modelId="{E31FDDCD-2BFA-44AC-9A9C-3639B6FF270E}" type="presOf" srcId="{05E669BF-DDC6-4C26-BC1D-217E41C6E8D8}" destId="{54B2F217-9BBD-4F4B-A656-C914C0D11FCC}" srcOrd="0" destOrd="0" presId="urn:microsoft.com/office/officeart/2005/8/layout/lProcess1"/>
    <dgm:cxn modelId="{AE7E89D7-9C33-4FE9-B90D-71F88B7F72F6}" srcId="{D600848E-5A23-41A4-B95A-ACE2F3BDABBA}" destId="{AAB4171A-E0A3-4EEE-A838-C76864D9C178}" srcOrd="4" destOrd="0" parTransId="{68913B20-4FF5-4EB6-ACD3-36D3CAD546B7}" sibTransId="{2E76552A-975C-407B-B89A-68EEE9D0601C}"/>
    <dgm:cxn modelId="{C32A29E1-E988-4701-AC98-D23F462762B4}" type="presOf" srcId="{D600848E-5A23-41A4-B95A-ACE2F3BDABBA}" destId="{F6C98437-E0F7-4B61-8BE6-D34DC54FC50B}" srcOrd="0" destOrd="0" presId="urn:microsoft.com/office/officeart/2005/8/layout/lProcess1"/>
    <dgm:cxn modelId="{29F644E1-6398-4F9E-99AD-E9487B88DAF2}" type="presOf" srcId="{68021A3F-00AC-4589-8312-1B79181D916F}" destId="{A1367F4A-812B-4F11-AEC5-B836CB788876}" srcOrd="0" destOrd="0" presId="urn:microsoft.com/office/officeart/2005/8/layout/lProcess1"/>
    <dgm:cxn modelId="{193235E4-1738-4995-A1D6-771D09F33D43}" type="presOf" srcId="{90250EB1-9150-4536-9DAD-AE2E43F5BEA2}" destId="{41EB9399-DDC1-45FD-A439-BE0B0A606A90}" srcOrd="0" destOrd="0" presId="urn:microsoft.com/office/officeart/2005/8/layout/lProcess1"/>
    <dgm:cxn modelId="{479BFFEC-BE96-4E49-B53A-1A6F1D78CEF7}" type="presOf" srcId="{E54BDFFC-6358-4CC3-9A4D-1126354A7116}" destId="{64D29A4C-9F22-49DB-A7E9-B4046003DD1E}" srcOrd="0" destOrd="0" presId="urn:microsoft.com/office/officeart/2005/8/layout/lProcess1"/>
    <dgm:cxn modelId="{B9C425F1-13D7-4A35-9C63-E4DD22AABA63}" srcId="{B664F8E1-9766-4A38-A4BA-AC89D6E1E735}" destId="{CDB70A4C-7048-4B3D-93C2-5E475E36135E}" srcOrd="4" destOrd="0" parTransId="{116303B2-9F7E-404F-94A5-D2FDA157F959}" sibTransId="{A7AC701D-C6F0-40AB-B157-D65C19C152EE}"/>
    <dgm:cxn modelId="{9474B3F2-1EA3-4366-A2EB-61C0733CA461}" type="presOf" srcId="{F982F725-4D46-4421-BBCD-59EC9015637D}" destId="{2017DF1D-833C-4CCB-8072-F5DCED991E35}" srcOrd="0" destOrd="0" presId="urn:microsoft.com/office/officeart/2005/8/layout/lProcess1"/>
    <dgm:cxn modelId="{92FE78F3-7B28-4157-BCBF-978F922F615E}" type="presOf" srcId="{B664F8E1-9766-4A38-A4BA-AC89D6E1E735}" destId="{430CD3F8-E1CF-4901-A754-2E63B53F6F8B}" srcOrd="0" destOrd="0" presId="urn:microsoft.com/office/officeart/2005/8/layout/lProcess1"/>
    <dgm:cxn modelId="{ABDC97F9-A917-4ADC-A06D-641D250FB437}" type="presOf" srcId="{739C5B45-6106-48AA-8448-4A129D9E42A9}" destId="{31A6301E-83E7-48D5-AF68-2EA0982AE6CF}" srcOrd="0" destOrd="0" presId="urn:microsoft.com/office/officeart/2005/8/layout/lProcess1"/>
    <dgm:cxn modelId="{E984AAF9-8254-44CF-94AC-55E9548F59B7}" srcId="{D600848E-5A23-41A4-B95A-ACE2F3BDABBA}" destId="{F982F725-4D46-4421-BBCD-59EC9015637D}" srcOrd="5" destOrd="0" parTransId="{06F57494-41C0-4DE9-AD7F-F9739B98D090}" sibTransId="{CAE541E6-31EA-4652-9961-C7805228DC06}"/>
    <dgm:cxn modelId="{193A44FB-1420-4BE9-99D2-F08EAD494590}" type="presOf" srcId="{84B7C825-5866-4CA7-8F05-3C80AEEC1A52}" destId="{99506F58-404F-433F-A59D-72D986FF5002}" srcOrd="0" destOrd="0" presId="urn:microsoft.com/office/officeart/2005/8/layout/lProcess1"/>
    <dgm:cxn modelId="{7104B778-AFE7-4A65-BA13-E3DF9EFA0B00}" type="presParOf" srcId="{41EB9399-DDC1-45FD-A439-BE0B0A606A90}" destId="{38C58BEE-A26B-4D30-BEFF-2915A13EDB94}" srcOrd="0" destOrd="0" presId="urn:microsoft.com/office/officeart/2005/8/layout/lProcess1"/>
    <dgm:cxn modelId="{C3076E8C-2D5D-4E90-86E4-9082DEAAA3CF}" type="presParOf" srcId="{38C58BEE-A26B-4D30-BEFF-2915A13EDB94}" destId="{F6C98437-E0F7-4B61-8BE6-D34DC54FC50B}" srcOrd="0" destOrd="0" presId="urn:microsoft.com/office/officeart/2005/8/layout/lProcess1"/>
    <dgm:cxn modelId="{D1C3B83D-B942-46C0-BD86-766AFD063147}" type="presParOf" srcId="{38C58BEE-A26B-4D30-BEFF-2915A13EDB94}" destId="{F5B6BB48-9C1E-4660-B44C-EF109B8ED438}" srcOrd="1" destOrd="0" presId="urn:microsoft.com/office/officeart/2005/8/layout/lProcess1"/>
    <dgm:cxn modelId="{C11F59A5-000A-4F24-8F01-DB81CEEA2D89}" type="presParOf" srcId="{38C58BEE-A26B-4D30-BEFF-2915A13EDB94}" destId="{2D263D71-4774-4B94-99AA-328F73C1F905}" srcOrd="2" destOrd="0" presId="urn:microsoft.com/office/officeart/2005/8/layout/lProcess1"/>
    <dgm:cxn modelId="{3B9065A6-25FF-49D8-A3C2-C215C6D1A716}" type="presParOf" srcId="{38C58BEE-A26B-4D30-BEFF-2915A13EDB94}" destId="{EB8C6677-08D4-4C9B-AF00-0EF8A867F0EC}" srcOrd="3" destOrd="0" presId="urn:microsoft.com/office/officeart/2005/8/layout/lProcess1"/>
    <dgm:cxn modelId="{9E8BFCED-2F7E-4665-879B-134AF67EDA51}" type="presParOf" srcId="{38C58BEE-A26B-4D30-BEFF-2915A13EDB94}" destId="{1B051E1C-F434-497C-BAD9-F5310BE8E974}" srcOrd="4" destOrd="0" presId="urn:microsoft.com/office/officeart/2005/8/layout/lProcess1"/>
    <dgm:cxn modelId="{86EAFB31-733B-405D-9AE6-70B0AB9529F4}" type="presParOf" srcId="{38C58BEE-A26B-4D30-BEFF-2915A13EDB94}" destId="{54B2F217-9BBD-4F4B-A656-C914C0D11FCC}" srcOrd="5" destOrd="0" presId="urn:microsoft.com/office/officeart/2005/8/layout/lProcess1"/>
    <dgm:cxn modelId="{D73C894B-63C7-4888-BD91-FD26E2F34807}" type="presParOf" srcId="{38C58BEE-A26B-4D30-BEFF-2915A13EDB94}" destId="{64FBDA10-2838-490B-A637-F9565C19F0C8}" srcOrd="6" destOrd="0" presId="urn:microsoft.com/office/officeart/2005/8/layout/lProcess1"/>
    <dgm:cxn modelId="{89FDD16B-CC96-4A01-A9F8-A7800437B083}" type="presParOf" srcId="{38C58BEE-A26B-4D30-BEFF-2915A13EDB94}" destId="{8D834095-F5D2-4B87-BFBC-725D07A22B8C}" srcOrd="7" destOrd="0" presId="urn:microsoft.com/office/officeart/2005/8/layout/lProcess1"/>
    <dgm:cxn modelId="{20F88FFE-C990-41E5-9B27-AAF0496F2E94}" type="presParOf" srcId="{38C58BEE-A26B-4D30-BEFF-2915A13EDB94}" destId="{64D29A4C-9F22-49DB-A7E9-B4046003DD1E}" srcOrd="8" destOrd="0" presId="urn:microsoft.com/office/officeart/2005/8/layout/lProcess1"/>
    <dgm:cxn modelId="{11B69056-F812-49AE-ABD4-E9E841497E5B}" type="presParOf" srcId="{38C58BEE-A26B-4D30-BEFF-2915A13EDB94}" destId="{92BD948C-81C1-4072-B880-F93AB36F59B0}" srcOrd="9" destOrd="0" presId="urn:microsoft.com/office/officeart/2005/8/layout/lProcess1"/>
    <dgm:cxn modelId="{B99369D4-5D9C-403C-8541-0AA7917379C7}" type="presParOf" srcId="{38C58BEE-A26B-4D30-BEFF-2915A13EDB94}" destId="{3F977F0E-A2CE-4E33-8377-FF4E6A7CF585}" srcOrd="10" destOrd="0" presId="urn:microsoft.com/office/officeart/2005/8/layout/lProcess1"/>
    <dgm:cxn modelId="{56E50087-19F2-47E2-B02B-1E4C0D142838}" type="presParOf" srcId="{38C58BEE-A26B-4D30-BEFF-2915A13EDB94}" destId="{F0DE3BC6-858D-4D8E-9F10-466F3B6AFB42}" srcOrd="11" destOrd="0" presId="urn:microsoft.com/office/officeart/2005/8/layout/lProcess1"/>
    <dgm:cxn modelId="{30AF066F-9B7A-42B1-8645-589D43C23346}" type="presParOf" srcId="{38C58BEE-A26B-4D30-BEFF-2915A13EDB94}" destId="{2017DF1D-833C-4CCB-8072-F5DCED991E35}" srcOrd="12" destOrd="0" presId="urn:microsoft.com/office/officeart/2005/8/layout/lProcess1"/>
    <dgm:cxn modelId="{D1B5D144-765F-470F-AD07-D51CA91DB89E}" type="presParOf" srcId="{41EB9399-DDC1-45FD-A439-BE0B0A606A90}" destId="{C6D2BB3A-04DB-4CA2-8A10-63CF7807716E}" srcOrd="1" destOrd="0" presId="urn:microsoft.com/office/officeart/2005/8/layout/lProcess1"/>
    <dgm:cxn modelId="{5C24B960-AC47-4980-AD25-A2078CD12BE6}" type="presParOf" srcId="{41EB9399-DDC1-45FD-A439-BE0B0A606A90}" destId="{EA70EDE9-790F-4D2D-B0C2-4EC7547D81DB}" srcOrd="2" destOrd="0" presId="urn:microsoft.com/office/officeart/2005/8/layout/lProcess1"/>
    <dgm:cxn modelId="{DFF7B689-4A65-4042-B60E-43834CAAA852}" type="presParOf" srcId="{EA70EDE9-790F-4D2D-B0C2-4EC7547D81DB}" destId="{430CD3F8-E1CF-4901-A754-2E63B53F6F8B}" srcOrd="0" destOrd="0" presId="urn:microsoft.com/office/officeart/2005/8/layout/lProcess1"/>
    <dgm:cxn modelId="{316E066F-EA9E-40F5-B636-5E45415BC06B}" type="presParOf" srcId="{EA70EDE9-790F-4D2D-B0C2-4EC7547D81DB}" destId="{4B1D614C-E7EB-4C30-B485-B6793B0FDA1C}" srcOrd="1" destOrd="0" presId="urn:microsoft.com/office/officeart/2005/8/layout/lProcess1"/>
    <dgm:cxn modelId="{DB76BF34-F9DD-4B28-8230-ADEA6D2AD6E8}" type="presParOf" srcId="{EA70EDE9-790F-4D2D-B0C2-4EC7547D81DB}" destId="{ED85B535-FDD6-414D-84AB-BBBEA3E23B39}" srcOrd="2" destOrd="0" presId="urn:microsoft.com/office/officeart/2005/8/layout/lProcess1"/>
    <dgm:cxn modelId="{1B64391D-46D7-458B-AEF1-74C92CA0E309}" type="presParOf" srcId="{EA70EDE9-790F-4D2D-B0C2-4EC7547D81DB}" destId="{E4E1A390-2B22-42EA-864D-41B653991E3A}" srcOrd="3" destOrd="0" presId="urn:microsoft.com/office/officeart/2005/8/layout/lProcess1"/>
    <dgm:cxn modelId="{561C63FC-300C-433C-B525-123427B3BD24}" type="presParOf" srcId="{EA70EDE9-790F-4D2D-B0C2-4EC7547D81DB}" destId="{99506F58-404F-433F-A59D-72D986FF5002}" srcOrd="4" destOrd="0" presId="urn:microsoft.com/office/officeart/2005/8/layout/lProcess1"/>
    <dgm:cxn modelId="{0622607B-6962-420E-9C64-471CE91C2439}" type="presParOf" srcId="{EA70EDE9-790F-4D2D-B0C2-4EC7547D81DB}" destId="{FC6B1880-3146-40A8-AB14-8A5A1D756DA3}" srcOrd="5" destOrd="0" presId="urn:microsoft.com/office/officeart/2005/8/layout/lProcess1"/>
    <dgm:cxn modelId="{807AEB05-6E30-400F-B5A6-76D7119B1D6B}" type="presParOf" srcId="{EA70EDE9-790F-4D2D-B0C2-4EC7547D81DB}" destId="{44F8684E-03A6-40EE-A996-D351C234EDDD}" srcOrd="6" destOrd="0" presId="urn:microsoft.com/office/officeart/2005/8/layout/lProcess1"/>
    <dgm:cxn modelId="{FE22EC83-3F6C-4BFC-B8E1-CB2C6A1E6213}" type="presParOf" srcId="{EA70EDE9-790F-4D2D-B0C2-4EC7547D81DB}" destId="{AF6F9E1E-9D3F-4F1A-99DA-F5A55844534C}" srcOrd="7" destOrd="0" presId="urn:microsoft.com/office/officeart/2005/8/layout/lProcess1"/>
    <dgm:cxn modelId="{EE45932E-17CD-466E-BC4B-D4A3D5100AA3}" type="presParOf" srcId="{EA70EDE9-790F-4D2D-B0C2-4EC7547D81DB}" destId="{31A6301E-83E7-48D5-AF68-2EA0982AE6CF}" srcOrd="8" destOrd="0" presId="urn:microsoft.com/office/officeart/2005/8/layout/lProcess1"/>
    <dgm:cxn modelId="{863A6FA8-821B-4F58-8D26-FFF153520946}" type="presParOf" srcId="{EA70EDE9-790F-4D2D-B0C2-4EC7547D81DB}" destId="{A1367F4A-812B-4F11-AEC5-B836CB788876}" srcOrd="9" destOrd="0" presId="urn:microsoft.com/office/officeart/2005/8/layout/lProcess1"/>
    <dgm:cxn modelId="{2835A879-2769-4077-837F-B96E12394EA8}" type="presParOf" srcId="{EA70EDE9-790F-4D2D-B0C2-4EC7547D81DB}" destId="{560C9EA6-38A0-4271-90DF-6F0B68A6A971}" srcOrd="10" destOrd="0" presId="urn:microsoft.com/office/officeart/2005/8/layout/lProcess1"/>
  </dgm:cxnLst>
  <dgm:bg/>
  <dgm:whole/>
  <dgm:extLst>
    <a:ext uri="http://schemas.microsoft.com/office/drawing/2008/diagram">
      <dsp:dataModelExt xmlns:dsp="http://schemas.microsoft.com/office/drawing/2008/diagram" relId="rId17"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256285F-4B37-4A32-BFA9-7E926DAA001A}" type="doc">
      <dgm:prSet loTypeId="urn:microsoft.com/office/officeart/2005/8/layout/hierarchy2" loCatId="hierarchy" qsTypeId="urn:microsoft.com/office/officeart/2005/8/quickstyle/simple1" qsCatId="simple" csTypeId="urn:microsoft.com/office/officeart/2005/8/colors/accent0_1" csCatId="mainScheme" phldr="1"/>
      <dgm:spPr/>
      <dgm:t>
        <a:bodyPr/>
        <a:lstStyle/>
        <a:p>
          <a:endParaRPr lang="ru-RU"/>
        </a:p>
      </dgm:t>
    </dgm:pt>
    <dgm:pt modelId="{7B513314-221C-4248-B4D5-208618BEE9AC}">
      <dgm:prSet phldrT="[Текст]" custT="1"/>
      <dgm:spPr>
        <a:xfrm>
          <a:off x="0" y="2376100"/>
          <a:ext cx="1139171" cy="39003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00000"/>
            </a:lnSpc>
            <a:spcAft>
              <a:spcPts val="0"/>
            </a:spcAft>
            <a:buNone/>
          </a:pPr>
          <a:r>
            <a:rPr lang="ru-RU"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Дополнительные начисления</a:t>
          </a:r>
        </a:p>
      </dgm:t>
    </dgm:pt>
    <dgm:pt modelId="{841ACAC8-E320-413C-B193-875BF42AD2E2}" type="parTrans" cxnId="{74AF1C38-00AB-4354-80C4-BB18C7A332C7}">
      <dgm:prSet/>
      <dgm:spPr/>
      <dgm:t>
        <a:bodyPr/>
        <a:lstStyle/>
        <a:p>
          <a:endParaRPr lang="ru-RU" sz="800"/>
        </a:p>
      </dgm:t>
    </dgm:pt>
    <dgm:pt modelId="{8009FCF2-5A45-4B07-8E71-E1D83BF9F3CD}" type="sibTrans" cxnId="{74AF1C38-00AB-4354-80C4-BB18C7A332C7}">
      <dgm:prSet/>
      <dgm:spPr/>
      <dgm:t>
        <a:bodyPr/>
        <a:lstStyle/>
        <a:p>
          <a:endParaRPr lang="ru-RU" sz="800"/>
        </a:p>
      </dgm:t>
    </dgm:pt>
    <dgm:pt modelId="{EDC70EC8-C4B9-4255-86D6-EC2CA7EB149A}">
      <dgm:prSet phldrT="[Текст]" custT="1"/>
      <dgm:spPr>
        <a:xfrm>
          <a:off x="1982961" y="451987"/>
          <a:ext cx="1160444" cy="39003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00000"/>
            </a:lnSpc>
            <a:spcAft>
              <a:spcPts val="0"/>
            </a:spcAft>
            <a:buNone/>
          </a:pPr>
          <a:r>
            <a:rPr lang="ru-RU"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Расходы, не включенные в цену, фактически уплаченную за товары</a:t>
          </a:r>
        </a:p>
      </dgm:t>
    </dgm:pt>
    <dgm:pt modelId="{FCA16D7E-CE22-49B9-89AB-6F5B328C88D9}" type="parTrans" cxnId="{C169E753-E592-425F-9EA9-11CE33217B2E}">
      <dgm:prSet custT="1"/>
      <dgm:spPr>
        <a:xfrm rot="17620746">
          <a:off x="510567" y="1601610"/>
          <a:ext cx="2100997" cy="14904"/>
        </a:xfrm>
        <a:custGeom>
          <a:avLst/>
          <a:gdLst/>
          <a:ahLst/>
          <a:cxnLst/>
          <a:rect l="0" t="0" r="0" b="0"/>
          <a:pathLst>
            <a:path>
              <a:moveTo>
                <a:pt x="0" y="7452"/>
              </a:moveTo>
              <a:lnTo>
                <a:pt x="2100997" y="7452"/>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pPr>
            <a:buNone/>
          </a:pPr>
          <a:endParaRPr lang="ru-RU" sz="800">
            <a:solidFill>
              <a:sysClr val="windowText" lastClr="000000">
                <a:hueOff val="0"/>
                <a:satOff val="0"/>
                <a:lumOff val="0"/>
                <a:alphaOff val="0"/>
              </a:sysClr>
            </a:solidFill>
            <a:latin typeface="Calibri" panose="020F0502020204030204"/>
            <a:ea typeface="+mn-ea"/>
            <a:cs typeface="+mn-cs"/>
          </a:endParaRPr>
        </a:p>
      </dgm:t>
    </dgm:pt>
    <dgm:pt modelId="{49BD4296-26A7-4CB8-99E9-2C0D41A98007}" type="sibTrans" cxnId="{C169E753-E592-425F-9EA9-11CE33217B2E}">
      <dgm:prSet/>
      <dgm:spPr/>
      <dgm:t>
        <a:bodyPr/>
        <a:lstStyle/>
        <a:p>
          <a:endParaRPr lang="ru-RU" sz="800"/>
        </a:p>
      </dgm:t>
    </dgm:pt>
    <dgm:pt modelId="{6F800BA5-3009-49D7-92AD-78DD7BB98A1A}">
      <dgm:prSet phldrT="[Текст]" custT="1"/>
      <dgm:spPr>
        <a:xfrm>
          <a:off x="3455434" y="3445"/>
          <a:ext cx="1874148" cy="39003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00000"/>
            </a:lnSpc>
            <a:spcAft>
              <a:spcPts val="0"/>
            </a:spcAft>
            <a:buNone/>
          </a:pPr>
          <a:r>
            <a:rPr lang="ru-RU"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Вознаграждение посредникам (агентам) и вознаграждение брокерам</a:t>
          </a:r>
        </a:p>
      </dgm:t>
    </dgm:pt>
    <dgm:pt modelId="{72C0555A-DB11-447C-9CD8-D84A91007119}" type="parTrans" cxnId="{5DA38EAD-86BB-466E-84DC-161B54E9CA21}">
      <dgm:prSet custT="1"/>
      <dgm:spPr>
        <a:xfrm rot="18289469">
          <a:off x="3026220" y="415282"/>
          <a:ext cx="546399" cy="14904"/>
        </a:xfrm>
        <a:custGeom>
          <a:avLst/>
          <a:gdLst/>
          <a:ahLst/>
          <a:cxnLst/>
          <a:rect l="0" t="0" r="0" b="0"/>
          <a:pathLst>
            <a:path>
              <a:moveTo>
                <a:pt x="0" y="7452"/>
              </a:moveTo>
              <a:lnTo>
                <a:pt x="546399" y="7452"/>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ru-RU" sz="800">
            <a:solidFill>
              <a:sysClr val="windowText" lastClr="000000">
                <a:hueOff val="0"/>
                <a:satOff val="0"/>
                <a:lumOff val="0"/>
                <a:alphaOff val="0"/>
              </a:sysClr>
            </a:solidFill>
            <a:latin typeface="Calibri" panose="020F0502020204030204"/>
            <a:ea typeface="+mn-ea"/>
            <a:cs typeface="+mn-cs"/>
          </a:endParaRPr>
        </a:p>
      </dgm:t>
    </dgm:pt>
    <dgm:pt modelId="{B18011AE-9D2A-42CD-89EF-C9E362AC01BB}" type="sibTrans" cxnId="{5DA38EAD-86BB-466E-84DC-161B54E9CA21}">
      <dgm:prSet/>
      <dgm:spPr/>
      <dgm:t>
        <a:bodyPr/>
        <a:lstStyle/>
        <a:p>
          <a:endParaRPr lang="ru-RU" sz="800"/>
        </a:p>
      </dgm:t>
    </dgm:pt>
    <dgm:pt modelId="{72ACF329-F4C8-4D09-B21A-08C18F7CAAB4}">
      <dgm:prSet phldrT="[Текст]" custT="1"/>
      <dgm:spPr>
        <a:xfrm>
          <a:off x="3455434" y="451987"/>
          <a:ext cx="1880584" cy="39003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00000"/>
            </a:lnSpc>
            <a:spcAft>
              <a:spcPts val="0"/>
            </a:spcAft>
            <a:buNone/>
          </a:pPr>
          <a:r>
            <a:rPr lang="ru-RU"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Расходы на тару, если для таможенных целей она рассматривается как единое целое с товарами</a:t>
          </a:r>
        </a:p>
      </dgm:t>
    </dgm:pt>
    <dgm:pt modelId="{448F23BD-A6F2-40E8-8DAF-D0FAAAE72DB7}" type="parTrans" cxnId="{0BFBCC86-821F-4147-8BE3-AB04B71DC62F}">
      <dgm:prSet custT="1"/>
      <dgm:spPr>
        <a:xfrm>
          <a:off x="3143405" y="639553"/>
          <a:ext cx="312029" cy="14904"/>
        </a:xfrm>
        <a:custGeom>
          <a:avLst/>
          <a:gdLst/>
          <a:ahLst/>
          <a:cxnLst/>
          <a:rect l="0" t="0" r="0" b="0"/>
          <a:pathLst>
            <a:path>
              <a:moveTo>
                <a:pt x="0" y="7452"/>
              </a:moveTo>
              <a:lnTo>
                <a:pt x="312029" y="7452"/>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ru-RU" sz="800">
            <a:solidFill>
              <a:sysClr val="windowText" lastClr="000000">
                <a:hueOff val="0"/>
                <a:satOff val="0"/>
                <a:lumOff val="0"/>
                <a:alphaOff val="0"/>
              </a:sysClr>
            </a:solidFill>
            <a:latin typeface="Calibri" panose="020F0502020204030204"/>
            <a:ea typeface="+mn-ea"/>
            <a:cs typeface="+mn-cs"/>
          </a:endParaRPr>
        </a:p>
      </dgm:t>
    </dgm:pt>
    <dgm:pt modelId="{A887878B-9FF9-4344-B331-6A72A7A7669A}" type="sibTrans" cxnId="{0BFBCC86-821F-4147-8BE3-AB04B71DC62F}">
      <dgm:prSet/>
      <dgm:spPr/>
      <dgm:t>
        <a:bodyPr/>
        <a:lstStyle/>
        <a:p>
          <a:endParaRPr lang="ru-RU" sz="800"/>
        </a:p>
      </dgm:t>
    </dgm:pt>
    <dgm:pt modelId="{251C3467-91F6-46B6-BAE0-5215D7872A7F}">
      <dgm:prSet phldrT="[Текст]" custT="1"/>
      <dgm:spPr>
        <a:xfrm>
          <a:off x="1982961" y="1652802"/>
          <a:ext cx="1740350" cy="811353"/>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00000"/>
            </a:lnSpc>
            <a:spcAft>
              <a:spcPts val="0"/>
            </a:spcAft>
            <a:buNone/>
          </a:pPr>
          <a:r>
            <a:rPr lang="ru-RU"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Стоимость товаров и услуг, прямо или косвенно предоставленных покупателем бесплатно или по сниженной цене для использования в связи с производством и продажей товаров, не включенных в цену, фактически уплаченную</a:t>
          </a:r>
        </a:p>
      </dgm:t>
    </dgm:pt>
    <dgm:pt modelId="{ADC7F682-7241-419E-B02D-1992EDBE716D}" type="parTrans" cxnId="{4B792961-7E3E-45BA-885E-F0686847A08D}">
      <dgm:prSet custT="1"/>
      <dgm:spPr>
        <a:xfrm rot="19723168">
          <a:off x="1067411" y="2307346"/>
          <a:ext cx="987309" cy="14904"/>
        </a:xfrm>
        <a:custGeom>
          <a:avLst/>
          <a:gdLst/>
          <a:ahLst/>
          <a:cxnLst/>
          <a:rect l="0" t="0" r="0" b="0"/>
          <a:pathLst>
            <a:path>
              <a:moveTo>
                <a:pt x="0" y="7452"/>
              </a:moveTo>
              <a:lnTo>
                <a:pt x="987309" y="7452"/>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pPr>
            <a:buNone/>
          </a:pPr>
          <a:endParaRPr lang="ru-RU" sz="800">
            <a:solidFill>
              <a:sysClr val="windowText" lastClr="000000">
                <a:hueOff val="0"/>
                <a:satOff val="0"/>
                <a:lumOff val="0"/>
                <a:alphaOff val="0"/>
              </a:sysClr>
            </a:solidFill>
            <a:latin typeface="Calibri" panose="020F0502020204030204"/>
            <a:ea typeface="+mn-ea"/>
            <a:cs typeface="+mn-cs"/>
          </a:endParaRPr>
        </a:p>
      </dgm:t>
    </dgm:pt>
    <dgm:pt modelId="{BA72AB5C-2007-409B-ADDD-B54B891BDCED}" type="sibTrans" cxnId="{4B792961-7E3E-45BA-885E-F0686847A08D}">
      <dgm:prSet/>
      <dgm:spPr/>
      <dgm:t>
        <a:bodyPr/>
        <a:lstStyle/>
        <a:p>
          <a:endParaRPr lang="ru-RU" sz="800"/>
        </a:p>
      </dgm:t>
    </dgm:pt>
    <dgm:pt modelId="{60B620B6-28DD-4F60-8C55-FC4451D84F6F}">
      <dgm:prSet phldrT="[Текст]" custT="1"/>
      <dgm:spPr>
        <a:xfrm>
          <a:off x="4035340" y="1349071"/>
          <a:ext cx="1317940" cy="39003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00000"/>
            </a:lnSpc>
            <a:spcAft>
              <a:spcPts val="0"/>
            </a:spcAft>
            <a:buNone/>
          </a:pPr>
          <a:r>
            <a:rPr lang="ru-RU"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Инструменты, штампы, формы и иные подобные товары</a:t>
          </a:r>
        </a:p>
      </dgm:t>
    </dgm:pt>
    <dgm:pt modelId="{F40330EC-A0FC-403C-BB9B-53379126330A}" type="parTrans" cxnId="{9FAE283B-79F7-43C0-A1DD-49A54142E376}">
      <dgm:prSet custT="1"/>
      <dgm:spPr>
        <a:xfrm rot="18074461">
          <a:off x="3578510" y="1793832"/>
          <a:ext cx="601630" cy="14904"/>
        </a:xfrm>
        <a:custGeom>
          <a:avLst/>
          <a:gdLst/>
          <a:ahLst/>
          <a:cxnLst/>
          <a:rect l="0" t="0" r="0" b="0"/>
          <a:pathLst>
            <a:path>
              <a:moveTo>
                <a:pt x="0" y="7452"/>
              </a:moveTo>
              <a:lnTo>
                <a:pt x="601630" y="7452"/>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ru-RU" sz="800">
            <a:solidFill>
              <a:sysClr val="windowText" lastClr="000000">
                <a:hueOff val="0"/>
                <a:satOff val="0"/>
                <a:lumOff val="0"/>
                <a:alphaOff val="0"/>
              </a:sysClr>
            </a:solidFill>
            <a:latin typeface="Calibri" panose="020F0502020204030204"/>
            <a:ea typeface="+mn-ea"/>
            <a:cs typeface="+mn-cs"/>
          </a:endParaRPr>
        </a:p>
      </dgm:t>
    </dgm:pt>
    <dgm:pt modelId="{D803D4B5-07C2-4C35-BCFB-EA5BF4F4FA04}" type="sibTrans" cxnId="{9FAE283B-79F7-43C0-A1DD-49A54142E376}">
      <dgm:prSet/>
      <dgm:spPr/>
      <dgm:t>
        <a:bodyPr/>
        <a:lstStyle/>
        <a:p>
          <a:endParaRPr lang="ru-RU" sz="800"/>
        </a:p>
      </dgm:t>
    </dgm:pt>
    <dgm:pt modelId="{2492120B-06DC-4630-B236-6DC86342DE1B}">
      <dgm:prSet phldrT="[Текст]" custT="1"/>
      <dgm:spPr>
        <a:xfrm>
          <a:off x="3455434" y="900529"/>
          <a:ext cx="1864218" cy="39003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00000"/>
            </a:lnSpc>
            <a:spcAft>
              <a:spcPts val="0"/>
            </a:spcAft>
            <a:buNone/>
          </a:pPr>
          <a:r>
            <a:rPr lang="ru-RU"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Расходы на упаковку товаров, в т.ч. стоимость упаковочных материалов и работ по упаковке</a:t>
          </a:r>
        </a:p>
      </dgm:t>
    </dgm:pt>
    <dgm:pt modelId="{D33A42BB-1D45-487E-96B3-E306ADDEE0CE}" type="parTrans" cxnId="{165DE43F-A22D-44B2-BE7A-AB5AEC1CE69C}">
      <dgm:prSet custT="1"/>
      <dgm:spPr>
        <a:xfrm rot="3310531">
          <a:off x="3026220" y="863824"/>
          <a:ext cx="546399" cy="14904"/>
        </a:xfrm>
        <a:custGeom>
          <a:avLst/>
          <a:gdLst/>
          <a:ahLst/>
          <a:cxnLst/>
          <a:rect l="0" t="0" r="0" b="0"/>
          <a:pathLst>
            <a:path>
              <a:moveTo>
                <a:pt x="0" y="7452"/>
              </a:moveTo>
              <a:lnTo>
                <a:pt x="546399" y="7452"/>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ru-RU" sz="800">
            <a:solidFill>
              <a:sysClr val="windowText" lastClr="000000">
                <a:hueOff val="0"/>
                <a:satOff val="0"/>
                <a:lumOff val="0"/>
                <a:alphaOff val="0"/>
              </a:sysClr>
            </a:solidFill>
            <a:latin typeface="Calibri" panose="020F0502020204030204"/>
            <a:ea typeface="+mn-ea"/>
            <a:cs typeface="+mn-cs"/>
          </a:endParaRPr>
        </a:p>
      </dgm:t>
    </dgm:pt>
    <dgm:pt modelId="{FD101445-0A09-45E0-81E0-BA335888B279}" type="sibTrans" cxnId="{165DE43F-A22D-44B2-BE7A-AB5AEC1CE69C}">
      <dgm:prSet/>
      <dgm:spPr/>
      <dgm:t>
        <a:bodyPr/>
        <a:lstStyle/>
        <a:p>
          <a:endParaRPr lang="ru-RU" sz="800"/>
        </a:p>
      </dgm:t>
    </dgm:pt>
    <dgm:pt modelId="{49E915B8-A094-4F20-A4EE-0F084D9E52AD}">
      <dgm:prSet phldrT="[Текст]" custT="1"/>
      <dgm:spPr>
        <a:xfrm>
          <a:off x="4035340" y="1797613"/>
          <a:ext cx="1135029" cy="39003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00000"/>
            </a:lnSpc>
            <a:spcAft>
              <a:spcPts val="0"/>
            </a:spcAft>
            <a:buNone/>
          </a:pPr>
          <a:r>
            <a:rPr lang="ru-RU"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Материалы</a:t>
          </a:r>
        </a:p>
      </dgm:t>
    </dgm:pt>
    <dgm:pt modelId="{15A13186-CEF8-4A77-BA72-2BE7F7AF2BE4}" type="parTrans" cxnId="{2A7AFADD-1F4B-4039-9D37-A06FB2434951}">
      <dgm:prSet custT="1"/>
      <dgm:spPr>
        <a:xfrm rot="20885019">
          <a:off x="3719875" y="2018103"/>
          <a:ext cx="318901" cy="14904"/>
        </a:xfrm>
        <a:custGeom>
          <a:avLst/>
          <a:gdLst/>
          <a:ahLst/>
          <a:cxnLst/>
          <a:rect l="0" t="0" r="0" b="0"/>
          <a:pathLst>
            <a:path>
              <a:moveTo>
                <a:pt x="0" y="7452"/>
              </a:moveTo>
              <a:lnTo>
                <a:pt x="318901" y="7452"/>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ru-RU" sz="800">
            <a:solidFill>
              <a:sysClr val="windowText" lastClr="000000">
                <a:hueOff val="0"/>
                <a:satOff val="0"/>
                <a:lumOff val="0"/>
                <a:alphaOff val="0"/>
              </a:sysClr>
            </a:solidFill>
            <a:latin typeface="Calibri" panose="020F0502020204030204"/>
            <a:ea typeface="+mn-ea"/>
            <a:cs typeface="+mn-cs"/>
          </a:endParaRPr>
        </a:p>
      </dgm:t>
    </dgm:pt>
    <dgm:pt modelId="{38BE8EC8-87A7-42D8-8B78-C3EB72020E60}" type="sibTrans" cxnId="{2A7AFADD-1F4B-4039-9D37-A06FB2434951}">
      <dgm:prSet/>
      <dgm:spPr/>
      <dgm:t>
        <a:bodyPr/>
        <a:lstStyle/>
        <a:p>
          <a:endParaRPr lang="ru-RU" sz="800"/>
        </a:p>
      </dgm:t>
    </dgm:pt>
    <dgm:pt modelId="{6E0D4FB5-B4CE-44B0-A8AE-8EA12B30D9AB}">
      <dgm:prSet phldrT="[Текст]" custT="1"/>
      <dgm:spPr>
        <a:xfrm>
          <a:off x="4035340" y="2246155"/>
          <a:ext cx="1824808" cy="521732"/>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00000"/>
            </a:lnSpc>
            <a:spcAft>
              <a:spcPts val="0"/>
            </a:spcAft>
            <a:buNone/>
          </a:pPr>
          <a:r>
            <a:rPr lang="ru-RU"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Проектирование, разработка, инженерная, конструкторская работа, художественное оформление, дизайн, эскизы и чертежи</a:t>
          </a:r>
        </a:p>
      </dgm:t>
    </dgm:pt>
    <dgm:pt modelId="{42A807CB-0EE6-43F7-B577-23C53C926E92}" type="parTrans" cxnId="{97398F7E-D381-4A3D-86BE-BCD1A9AA4A3C}">
      <dgm:prSet custT="1"/>
      <dgm:spPr>
        <a:xfrm rot="3310531">
          <a:off x="3606126" y="2275298"/>
          <a:ext cx="546399" cy="14904"/>
        </a:xfrm>
        <a:custGeom>
          <a:avLst/>
          <a:gdLst/>
          <a:ahLst/>
          <a:cxnLst/>
          <a:rect l="0" t="0" r="0" b="0"/>
          <a:pathLst>
            <a:path>
              <a:moveTo>
                <a:pt x="0" y="7452"/>
              </a:moveTo>
              <a:lnTo>
                <a:pt x="546399" y="7452"/>
              </a:lnTo>
            </a:path>
          </a:pathLst>
        </a:custGeom>
        <a:no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endParaRPr lang="ru-RU" sz="800">
            <a:solidFill>
              <a:sysClr val="windowText" lastClr="000000">
                <a:hueOff val="0"/>
                <a:satOff val="0"/>
                <a:lumOff val="0"/>
                <a:alphaOff val="0"/>
              </a:sysClr>
            </a:solidFill>
            <a:latin typeface="Calibri" panose="020F0502020204030204"/>
            <a:ea typeface="+mn-ea"/>
            <a:cs typeface="+mn-cs"/>
          </a:endParaRPr>
        </a:p>
      </dgm:t>
    </dgm:pt>
    <dgm:pt modelId="{0BE95CDC-D7C7-4044-B10E-0C55CC844A33}" type="sibTrans" cxnId="{97398F7E-D381-4A3D-86BE-BCD1A9AA4A3C}">
      <dgm:prSet/>
      <dgm:spPr/>
      <dgm:t>
        <a:bodyPr/>
        <a:lstStyle/>
        <a:p>
          <a:endParaRPr lang="ru-RU" sz="800"/>
        </a:p>
      </dgm:t>
    </dgm:pt>
    <dgm:pt modelId="{53A04DA1-D2F2-405E-95AA-9675A8FB8D9A}">
      <dgm:prSet phldrT="[Текст]" custT="1"/>
      <dgm:spPr>
        <a:xfrm>
          <a:off x="1982961" y="2522662"/>
          <a:ext cx="1805751" cy="39003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00000"/>
            </a:lnSpc>
            <a:spcAft>
              <a:spcPts val="0"/>
            </a:spcAft>
            <a:buNone/>
          </a:pPr>
          <a:r>
            <a:rPr lang="ru-RU"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Часть дохода (выручки), которая прямо или косвенно причитается продавцу</a:t>
          </a:r>
        </a:p>
      </dgm:t>
    </dgm:pt>
    <dgm:pt modelId="{36616B42-2005-40C2-B84F-4ACD34D34728}" type="parTrans" cxnId="{EEF74354-EAF0-44A4-818C-C8FFAFCC4321}">
      <dgm:prSet custT="1"/>
      <dgm:spPr>
        <a:xfrm rot="591217">
          <a:off x="1132854" y="2636947"/>
          <a:ext cx="856423" cy="14904"/>
        </a:xfrm>
        <a:custGeom>
          <a:avLst/>
          <a:gdLst/>
          <a:ahLst/>
          <a:cxnLst/>
          <a:rect l="0" t="0" r="0" b="0"/>
          <a:pathLst>
            <a:path>
              <a:moveTo>
                <a:pt x="0" y="7452"/>
              </a:moveTo>
              <a:lnTo>
                <a:pt x="856423" y="7452"/>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pPr>
            <a:buNone/>
          </a:pPr>
          <a:endParaRPr lang="ru-RU" sz="800">
            <a:solidFill>
              <a:sysClr val="windowText" lastClr="000000">
                <a:hueOff val="0"/>
                <a:satOff val="0"/>
                <a:lumOff val="0"/>
                <a:alphaOff val="0"/>
              </a:sysClr>
            </a:solidFill>
            <a:latin typeface="Calibri" panose="020F0502020204030204"/>
            <a:ea typeface="+mn-ea"/>
            <a:cs typeface="+mn-cs"/>
          </a:endParaRPr>
        </a:p>
      </dgm:t>
    </dgm:pt>
    <dgm:pt modelId="{E0E6ED72-1582-4D11-8B8C-6B60B6B185EA}" type="sibTrans" cxnId="{EEF74354-EAF0-44A4-818C-C8FFAFCC4321}">
      <dgm:prSet/>
      <dgm:spPr/>
      <dgm:t>
        <a:bodyPr/>
        <a:lstStyle/>
        <a:p>
          <a:endParaRPr lang="ru-RU" sz="800"/>
        </a:p>
      </dgm:t>
    </dgm:pt>
    <dgm:pt modelId="{29D2FE58-5894-40A1-83FF-9636B3475A76}">
      <dgm:prSet phldrT="[Текст]" custT="1"/>
      <dgm:spPr>
        <a:xfrm>
          <a:off x="1982961" y="2971203"/>
          <a:ext cx="3183079" cy="39003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00000"/>
            </a:lnSpc>
            <a:spcAft>
              <a:spcPts val="0"/>
            </a:spcAft>
            <a:buNone/>
          </a:pPr>
          <a:r>
            <a:rPr lang="ru-RU"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Расходы на перевозку (транспортировку) товаров до места прибытия таких товаров на таможенную территорию</a:t>
          </a:r>
        </a:p>
      </dgm:t>
    </dgm:pt>
    <dgm:pt modelId="{B12B6AA0-C5F7-4C74-9803-B6CBD123ED0C}" type="parTrans" cxnId="{8F8EF22B-4B4D-46F4-B116-FA66BFBF788A}">
      <dgm:prSet custT="1"/>
      <dgm:spPr>
        <a:xfrm rot="2111660">
          <a:off x="1044798" y="2861218"/>
          <a:ext cx="1032534" cy="14904"/>
        </a:xfrm>
        <a:custGeom>
          <a:avLst/>
          <a:gdLst/>
          <a:ahLst/>
          <a:cxnLst/>
          <a:rect l="0" t="0" r="0" b="0"/>
          <a:pathLst>
            <a:path>
              <a:moveTo>
                <a:pt x="0" y="7452"/>
              </a:moveTo>
              <a:lnTo>
                <a:pt x="1032534" y="7452"/>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pPr>
            <a:buNone/>
          </a:pPr>
          <a:endParaRPr lang="ru-RU" sz="800">
            <a:solidFill>
              <a:sysClr val="windowText" lastClr="000000">
                <a:hueOff val="0"/>
                <a:satOff val="0"/>
                <a:lumOff val="0"/>
                <a:alphaOff val="0"/>
              </a:sysClr>
            </a:solidFill>
            <a:latin typeface="Calibri" panose="020F0502020204030204"/>
            <a:ea typeface="+mn-ea"/>
            <a:cs typeface="+mn-cs"/>
          </a:endParaRPr>
        </a:p>
      </dgm:t>
    </dgm:pt>
    <dgm:pt modelId="{3D178105-F9F0-4E80-BDA3-1BC588011EF2}" type="sibTrans" cxnId="{8F8EF22B-4B4D-46F4-B116-FA66BFBF788A}">
      <dgm:prSet/>
      <dgm:spPr/>
      <dgm:t>
        <a:bodyPr/>
        <a:lstStyle/>
        <a:p>
          <a:endParaRPr lang="ru-RU" sz="800"/>
        </a:p>
      </dgm:t>
    </dgm:pt>
    <dgm:pt modelId="{63F211F0-13D9-424D-BC73-12E1483C20FE}">
      <dgm:prSet phldrT="[Текст]" custT="1"/>
      <dgm:spPr>
        <a:xfrm>
          <a:off x="1982961" y="3419745"/>
          <a:ext cx="3214617" cy="39003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00000"/>
            </a:lnSpc>
            <a:spcAft>
              <a:spcPts val="0"/>
            </a:spcAft>
            <a:buNone/>
          </a:pPr>
          <a:r>
            <a:rPr lang="ru-RU"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Расходы на погрузку, разгрузку или перегрузку товаров и проведение иных операций, связанных с их перевозкой (транспортировкой) до места прибытия товаров на таможенную территорию</a:t>
          </a:r>
        </a:p>
      </dgm:t>
    </dgm:pt>
    <dgm:pt modelId="{DBD3A1FE-FDFC-4764-832D-593E019399EE}" type="parTrans" cxnId="{C38D47C4-C411-402D-89C5-60B9D3B51D4E}">
      <dgm:prSet custT="1"/>
      <dgm:spPr>
        <a:xfrm rot="3062662">
          <a:off x="890027" y="3085489"/>
          <a:ext cx="1342078" cy="14904"/>
        </a:xfrm>
        <a:custGeom>
          <a:avLst/>
          <a:gdLst/>
          <a:ahLst/>
          <a:cxnLst/>
          <a:rect l="0" t="0" r="0" b="0"/>
          <a:pathLst>
            <a:path>
              <a:moveTo>
                <a:pt x="0" y="7452"/>
              </a:moveTo>
              <a:lnTo>
                <a:pt x="1342078" y="7452"/>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pPr>
            <a:buNone/>
          </a:pPr>
          <a:endParaRPr lang="ru-RU" sz="800">
            <a:solidFill>
              <a:sysClr val="windowText" lastClr="000000">
                <a:hueOff val="0"/>
                <a:satOff val="0"/>
                <a:lumOff val="0"/>
                <a:alphaOff val="0"/>
              </a:sysClr>
            </a:solidFill>
            <a:latin typeface="Calibri" panose="020F0502020204030204"/>
            <a:ea typeface="+mn-ea"/>
            <a:cs typeface="+mn-cs"/>
          </a:endParaRPr>
        </a:p>
      </dgm:t>
    </dgm:pt>
    <dgm:pt modelId="{69132D6A-9BDB-492D-BE83-18129019B753}" type="sibTrans" cxnId="{C38D47C4-C411-402D-89C5-60B9D3B51D4E}">
      <dgm:prSet/>
      <dgm:spPr/>
      <dgm:t>
        <a:bodyPr/>
        <a:lstStyle/>
        <a:p>
          <a:endParaRPr lang="ru-RU" sz="800"/>
        </a:p>
      </dgm:t>
    </dgm:pt>
    <dgm:pt modelId="{3D0F8FF6-FF8C-4FF7-9FE0-6B085863E770}">
      <dgm:prSet phldrT="[Текст]" custT="1"/>
      <dgm:spPr>
        <a:xfrm>
          <a:off x="1982961" y="3868287"/>
          <a:ext cx="3209422" cy="39003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00000"/>
            </a:lnSpc>
            <a:spcAft>
              <a:spcPts val="0"/>
            </a:spcAft>
            <a:buNone/>
          </a:pPr>
          <a:r>
            <a:rPr lang="ru-RU"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Расходы на страхование</a:t>
          </a:r>
        </a:p>
      </dgm:t>
    </dgm:pt>
    <dgm:pt modelId="{A3EA5241-D476-4506-96CE-CAF27473FA39}" type="parTrans" cxnId="{AEAFC021-6B58-47EB-B17D-88D1B2722B9F}">
      <dgm:prSet custT="1"/>
      <dgm:spPr>
        <a:xfrm rot="3630784">
          <a:off x="703948" y="3309760"/>
          <a:ext cx="1714235" cy="14904"/>
        </a:xfrm>
        <a:custGeom>
          <a:avLst/>
          <a:gdLst/>
          <a:ahLst/>
          <a:cxnLst/>
          <a:rect l="0" t="0" r="0" b="0"/>
          <a:pathLst>
            <a:path>
              <a:moveTo>
                <a:pt x="0" y="7452"/>
              </a:moveTo>
              <a:lnTo>
                <a:pt x="1714235" y="7452"/>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pPr>
            <a:buNone/>
          </a:pPr>
          <a:endParaRPr lang="ru-RU" sz="800">
            <a:solidFill>
              <a:sysClr val="windowText" lastClr="000000">
                <a:hueOff val="0"/>
                <a:satOff val="0"/>
                <a:lumOff val="0"/>
                <a:alphaOff val="0"/>
              </a:sysClr>
            </a:solidFill>
            <a:latin typeface="Calibri" panose="020F0502020204030204"/>
            <a:ea typeface="+mn-ea"/>
            <a:cs typeface="+mn-cs"/>
          </a:endParaRPr>
        </a:p>
      </dgm:t>
    </dgm:pt>
    <dgm:pt modelId="{A9AABCC1-DC49-40D1-8C3F-3E6B837FFFD5}" type="sibTrans" cxnId="{AEAFC021-6B58-47EB-B17D-88D1B2722B9F}">
      <dgm:prSet/>
      <dgm:spPr/>
      <dgm:t>
        <a:bodyPr/>
        <a:lstStyle/>
        <a:p>
          <a:endParaRPr lang="ru-RU" sz="800"/>
        </a:p>
      </dgm:t>
    </dgm:pt>
    <dgm:pt modelId="{03EE0948-0FB1-4B6F-ACC5-4BD64570E91F}">
      <dgm:prSet phldrT="[Текст]" custT="1"/>
      <dgm:spPr>
        <a:xfrm>
          <a:off x="1982961" y="4316829"/>
          <a:ext cx="3269449" cy="390036"/>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lnSpc>
              <a:spcPct val="100000"/>
            </a:lnSpc>
            <a:spcAft>
              <a:spcPts val="0"/>
            </a:spcAft>
            <a:buNone/>
          </a:pPr>
          <a:r>
            <a:rPr lang="ru-RU" sz="8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Лицензионные и иные подобные платежи за использование объектов интеллектуальной собственности, включая роялти, платежи за патенты, товарные знаки, авторские права</a:t>
          </a:r>
        </a:p>
      </dgm:t>
    </dgm:pt>
    <dgm:pt modelId="{2E4F6CD1-F3CF-4B80-AE7B-DAAAE7863AA1}" type="parTrans" cxnId="{F14AD145-0690-479A-9C93-CC4E069841C0}">
      <dgm:prSet custT="1"/>
      <dgm:spPr>
        <a:xfrm rot="3990094">
          <a:off x="502953" y="3534031"/>
          <a:ext cx="2116225" cy="14904"/>
        </a:xfrm>
        <a:custGeom>
          <a:avLst/>
          <a:gdLst/>
          <a:ahLst/>
          <a:cxnLst/>
          <a:rect l="0" t="0" r="0" b="0"/>
          <a:pathLst>
            <a:path>
              <a:moveTo>
                <a:pt x="0" y="7452"/>
              </a:moveTo>
              <a:lnTo>
                <a:pt x="2116225" y="7452"/>
              </a:lnTo>
            </a:path>
          </a:pathLst>
        </a:custGeom>
        <a:noFill/>
        <a:ln w="12700" cap="flat" cmpd="sng" algn="ctr">
          <a:solidFill>
            <a:sysClr val="windowText" lastClr="000000">
              <a:shade val="60000"/>
              <a:hueOff val="0"/>
              <a:satOff val="0"/>
              <a:lumOff val="0"/>
              <a:alphaOff val="0"/>
            </a:sysClr>
          </a:solidFill>
          <a:prstDash val="solid"/>
          <a:miter lim="800000"/>
        </a:ln>
        <a:effectLst/>
      </dgm:spPr>
      <dgm:t>
        <a:bodyPr/>
        <a:lstStyle/>
        <a:p>
          <a:pPr>
            <a:buNone/>
          </a:pPr>
          <a:endParaRPr lang="ru-RU" sz="800">
            <a:solidFill>
              <a:sysClr val="windowText" lastClr="000000">
                <a:hueOff val="0"/>
                <a:satOff val="0"/>
                <a:lumOff val="0"/>
                <a:alphaOff val="0"/>
              </a:sysClr>
            </a:solidFill>
            <a:latin typeface="Calibri" panose="020F0502020204030204"/>
            <a:ea typeface="+mn-ea"/>
            <a:cs typeface="+mn-cs"/>
          </a:endParaRPr>
        </a:p>
      </dgm:t>
    </dgm:pt>
    <dgm:pt modelId="{A47DDA2A-0C92-435D-99FF-93810E554A78}" type="sibTrans" cxnId="{F14AD145-0690-479A-9C93-CC4E069841C0}">
      <dgm:prSet/>
      <dgm:spPr/>
      <dgm:t>
        <a:bodyPr/>
        <a:lstStyle/>
        <a:p>
          <a:endParaRPr lang="ru-RU" sz="800"/>
        </a:p>
      </dgm:t>
    </dgm:pt>
    <dgm:pt modelId="{8F067FF3-6EC6-4FC1-9D9F-3737682DFEF6}" type="pres">
      <dgm:prSet presAssocID="{E256285F-4B37-4A32-BFA9-7E926DAA001A}" presName="diagram" presStyleCnt="0">
        <dgm:presLayoutVars>
          <dgm:chPref val="1"/>
          <dgm:dir/>
          <dgm:animOne val="branch"/>
          <dgm:animLvl val="lvl"/>
          <dgm:resizeHandles val="exact"/>
        </dgm:presLayoutVars>
      </dgm:prSet>
      <dgm:spPr/>
    </dgm:pt>
    <dgm:pt modelId="{269658C5-D1E3-4E18-8350-4F49D472C845}" type="pres">
      <dgm:prSet presAssocID="{7B513314-221C-4248-B4D5-208618BEE9AC}" presName="root1" presStyleCnt="0"/>
      <dgm:spPr/>
    </dgm:pt>
    <dgm:pt modelId="{71E8A641-9509-47DA-A2C9-CBD720486ABD}" type="pres">
      <dgm:prSet presAssocID="{7B513314-221C-4248-B4D5-208618BEE9AC}" presName="LevelOneTextNode" presStyleLbl="node0" presStyleIdx="0" presStyleCnt="1" custScaleX="146034" custLinFactX="-100000" custLinFactNeighborX="-105525" custLinFactNeighborY="-2130">
        <dgm:presLayoutVars>
          <dgm:chPref val="3"/>
        </dgm:presLayoutVars>
      </dgm:prSet>
      <dgm:spPr/>
    </dgm:pt>
    <dgm:pt modelId="{AEB81828-7DAB-4D2A-BA4D-89A94A1B7548}" type="pres">
      <dgm:prSet presAssocID="{7B513314-221C-4248-B4D5-208618BEE9AC}" presName="level2hierChild" presStyleCnt="0"/>
      <dgm:spPr/>
    </dgm:pt>
    <dgm:pt modelId="{790AD3A8-B7BA-4D7C-A4D0-6E830A815225}" type="pres">
      <dgm:prSet presAssocID="{FCA16D7E-CE22-49B9-89AB-6F5B328C88D9}" presName="conn2-1" presStyleLbl="parChTrans1D2" presStyleIdx="0" presStyleCnt="7"/>
      <dgm:spPr/>
    </dgm:pt>
    <dgm:pt modelId="{C9D14259-AD51-4D28-95E0-E5292684BA1F}" type="pres">
      <dgm:prSet presAssocID="{FCA16D7E-CE22-49B9-89AB-6F5B328C88D9}" presName="connTx" presStyleLbl="parChTrans1D2" presStyleIdx="0" presStyleCnt="7"/>
      <dgm:spPr/>
    </dgm:pt>
    <dgm:pt modelId="{241B79B1-5577-4242-B556-2FA41932A50C}" type="pres">
      <dgm:prSet presAssocID="{EDC70EC8-C4B9-4255-86D6-EC2CA7EB149A}" presName="root2" presStyleCnt="0"/>
      <dgm:spPr/>
    </dgm:pt>
    <dgm:pt modelId="{DA78B694-52BC-4378-BF87-33D5B371B739}" type="pres">
      <dgm:prSet presAssocID="{EDC70EC8-C4B9-4255-86D6-EC2CA7EB149A}" presName="LevelTwoTextNode" presStyleLbl="node2" presStyleIdx="0" presStyleCnt="7" custScaleX="148761">
        <dgm:presLayoutVars>
          <dgm:chPref val="3"/>
        </dgm:presLayoutVars>
      </dgm:prSet>
      <dgm:spPr/>
    </dgm:pt>
    <dgm:pt modelId="{0A61A232-F166-4D79-B387-E179AE36F541}" type="pres">
      <dgm:prSet presAssocID="{EDC70EC8-C4B9-4255-86D6-EC2CA7EB149A}" presName="level3hierChild" presStyleCnt="0"/>
      <dgm:spPr/>
    </dgm:pt>
    <dgm:pt modelId="{73835DEF-4F29-4D05-9E63-3257BD7D166A}" type="pres">
      <dgm:prSet presAssocID="{72C0555A-DB11-447C-9CD8-D84A91007119}" presName="conn2-1" presStyleLbl="parChTrans1D3" presStyleIdx="0" presStyleCnt="6"/>
      <dgm:spPr/>
    </dgm:pt>
    <dgm:pt modelId="{DC7AAAF1-FD14-41F5-8AB7-A2EB14D6DEBB}" type="pres">
      <dgm:prSet presAssocID="{72C0555A-DB11-447C-9CD8-D84A91007119}" presName="connTx" presStyleLbl="parChTrans1D3" presStyleIdx="0" presStyleCnt="6"/>
      <dgm:spPr/>
    </dgm:pt>
    <dgm:pt modelId="{22BA36D6-4500-42C7-AA18-844E07F8E3B6}" type="pres">
      <dgm:prSet presAssocID="{6F800BA5-3009-49D7-92AD-78DD7BB98A1A}" presName="root2" presStyleCnt="0"/>
      <dgm:spPr/>
    </dgm:pt>
    <dgm:pt modelId="{E81CBCEF-1F2D-45DE-8C63-C4D4C1362C5C}" type="pres">
      <dgm:prSet presAssocID="{6F800BA5-3009-49D7-92AD-78DD7BB98A1A}" presName="LevelTwoTextNode" presStyleLbl="node3" presStyleIdx="0" presStyleCnt="6" custScaleX="240253">
        <dgm:presLayoutVars>
          <dgm:chPref val="3"/>
        </dgm:presLayoutVars>
      </dgm:prSet>
      <dgm:spPr/>
    </dgm:pt>
    <dgm:pt modelId="{1052054B-39DE-4528-99FD-CCD599A6F9C6}" type="pres">
      <dgm:prSet presAssocID="{6F800BA5-3009-49D7-92AD-78DD7BB98A1A}" presName="level3hierChild" presStyleCnt="0"/>
      <dgm:spPr/>
    </dgm:pt>
    <dgm:pt modelId="{CCDE4B05-F266-4B47-B449-B7CF1C184B61}" type="pres">
      <dgm:prSet presAssocID="{448F23BD-A6F2-40E8-8DAF-D0FAAAE72DB7}" presName="conn2-1" presStyleLbl="parChTrans1D3" presStyleIdx="1" presStyleCnt="6"/>
      <dgm:spPr/>
    </dgm:pt>
    <dgm:pt modelId="{83460D9C-6720-4F69-BCDD-975E80224DD9}" type="pres">
      <dgm:prSet presAssocID="{448F23BD-A6F2-40E8-8DAF-D0FAAAE72DB7}" presName="connTx" presStyleLbl="parChTrans1D3" presStyleIdx="1" presStyleCnt="6"/>
      <dgm:spPr/>
    </dgm:pt>
    <dgm:pt modelId="{DA5D49A4-3C12-4258-B8C5-C1B30CFB378F}" type="pres">
      <dgm:prSet presAssocID="{72ACF329-F4C8-4D09-B21A-08C18F7CAAB4}" presName="root2" presStyleCnt="0"/>
      <dgm:spPr/>
    </dgm:pt>
    <dgm:pt modelId="{EED4315D-71D2-4BF5-AE4D-34E037DFE265}" type="pres">
      <dgm:prSet presAssocID="{72ACF329-F4C8-4D09-B21A-08C18F7CAAB4}" presName="LevelTwoTextNode" presStyleLbl="node3" presStyleIdx="1" presStyleCnt="6" custScaleX="241078">
        <dgm:presLayoutVars>
          <dgm:chPref val="3"/>
        </dgm:presLayoutVars>
      </dgm:prSet>
      <dgm:spPr/>
    </dgm:pt>
    <dgm:pt modelId="{4A2F3DE7-9D41-47FB-9B7A-473E3FAB6234}" type="pres">
      <dgm:prSet presAssocID="{72ACF329-F4C8-4D09-B21A-08C18F7CAAB4}" presName="level3hierChild" presStyleCnt="0"/>
      <dgm:spPr/>
    </dgm:pt>
    <dgm:pt modelId="{A94CB019-2151-4963-AB0B-506FEADCF175}" type="pres">
      <dgm:prSet presAssocID="{D33A42BB-1D45-487E-96B3-E306ADDEE0CE}" presName="conn2-1" presStyleLbl="parChTrans1D3" presStyleIdx="2" presStyleCnt="6"/>
      <dgm:spPr/>
    </dgm:pt>
    <dgm:pt modelId="{9B82F54D-E692-408D-B6AA-A58D9A6310F1}" type="pres">
      <dgm:prSet presAssocID="{D33A42BB-1D45-487E-96B3-E306ADDEE0CE}" presName="connTx" presStyleLbl="parChTrans1D3" presStyleIdx="2" presStyleCnt="6"/>
      <dgm:spPr/>
    </dgm:pt>
    <dgm:pt modelId="{88736B7D-7421-4078-9346-F3BC0B416E20}" type="pres">
      <dgm:prSet presAssocID="{2492120B-06DC-4630-B236-6DC86342DE1B}" presName="root2" presStyleCnt="0"/>
      <dgm:spPr/>
    </dgm:pt>
    <dgm:pt modelId="{7FC110E6-61A7-4A64-A56F-D4AC8233334B}" type="pres">
      <dgm:prSet presAssocID="{2492120B-06DC-4630-B236-6DC86342DE1B}" presName="LevelTwoTextNode" presStyleLbl="node3" presStyleIdx="2" presStyleCnt="6" custScaleX="238980">
        <dgm:presLayoutVars>
          <dgm:chPref val="3"/>
        </dgm:presLayoutVars>
      </dgm:prSet>
      <dgm:spPr/>
    </dgm:pt>
    <dgm:pt modelId="{27682E27-6F67-44F2-8EA8-F352D7A29829}" type="pres">
      <dgm:prSet presAssocID="{2492120B-06DC-4630-B236-6DC86342DE1B}" presName="level3hierChild" presStyleCnt="0"/>
      <dgm:spPr/>
    </dgm:pt>
    <dgm:pt modelId="{798EF0B1-BA5F-4BE6-B8BA-DE9CD29839CF}" type="pres">
      <dgm:prSet presAssocID="{ADC7F682-7241-419E-B02D-1992EDBE716D}" presName="conn2-1" presStyleLbl="parChTrans1D2" presStyleIdx="1" presStyleCnt="7"/>
      <dgm:spPr/>
    </dgm:pt>
    <dgm:pt modelId="{351D47F5-844E-410C-B8AF-E0E57086E97A}" type="pres">
      <dgm:prSet presAssocID="{ADC7F682-7241-419E-B02D-1992EDBE716D}" presName="connTx" presStyleLbl="parChTrans1D2" presStyleIdx="1" presStyleCnt="7"/>
      <dgm:spPr/>
    </dgm:pt>
    <dgm:pt modelId="{4AD2E020-440E-4A4D-8414-9E1FD65CD9DC}" type="pres">
      <dgm:prSet presAssocID="{251C3467-91F6-46B6-BAE0-5215D7872A7F}" presName="root2" presStyleCnt="0"/>
      <dgm:spPr/>
    </dgm:pt>
    <dgm:pt modelId="{054B0075-B1AE-413F-BB24-03D7028D568D}" type="pres">
      <dgm:prSet presAssocID="{251C3467-91F6-46B6-BAE0-5215D7872A7F}" presName="LevelTwoTextNode" presStyleLbl="node2" presStyleIdx="1" presStyleCnt="7" custScaleX="223101" custScaleY="208020">
        <dgm:presLayoutVars>
          <dgm:chPref val="3"/>
        </dgm:presLayoutVars>
      </dgm:prSet>
      <dgm:spPr/>
    </dgm:pt>
    <dgm:pt modelId="{79B7AEED-9B9D-4468-94BD-FAE3E3E53C76}" type="pres">
      <dgm:prSet presAssocID="{251C3467-91F6-46B6-BAE0-5215D7872A7F}" presName="level3hierChild" presStyleCnt="0"/>
      <dgm:spPr/>
    </dgm:pt>
    <dgm:pt modelId="{3A739DF0-5964-49FF-99BB-321530138F57}" type="pres">
      <dgm:prSet presAssocID="{F40330EC-A0FC-403C-BB9B-53379126330A}" presName="conn2-1" presStyleLbl="parChTrans1D3" presStyleIdx="3" presStyleCnt="6"/>
      <dgm:spPr/>
    </dgm:pt>
    <dgm:pt modelId="{7F2ED964-C9D6-4F69-B72C-6136319237A5}" type="pres">
      <dgm:prSet presAssocID="{F40330EC-A0FC-403C-BB9B-53379126330A}" presName="connTx" presStyleLbl="parChTrans1D3" presStyleIdx="3" presStyleCnt="6"/>
      <dgm:spPr/>
    </dgm:pt>
    <dgm:pt modelId="{32E746C0-9CB4-4575-AE17-972021F47DCD}" type="pres">
      <dgm:prSet presAssocID="{60B620B6-28DD-4F60-8C55-FC4451D84F6F}" presName="root2" presStyleCnt="0"/>
      <dgm:spPr/>
    </dgm:pt>
    <dgm:pt modelId="{7E976FD7-E153-4392-96A1-5E96DDA27A8B}" type="pres">
      <dgm:prSet presAssocID="{60B620B6-28DD-4F60-8C55-FC4451D84F6F}" presName="LevelTwoTextNode" presStyleLbl="node3" presStyleIdx="3" presStyleCnt="6" custScaleX="168951">
        <dgm:presLayoutVars>
          <dgm:chPref val="3"/>
        </dgm:presLayoutVars>
      </dgm:prSet>
      <dgm:spPr/>
    </dgm:pt>
    <dgm:pt modelId="{2751D4E6-06A9-4D80-8F1F-7DAF3A70BD1D}" type="pres">
      <dgm:prSet presAssocID="{60B620B6-28DD-4F60-8C55-FC4451D84F6F}" presName="level3hierChild" presStyleCnt="0"/>
      <dgm:spPr/>
    </dgm:pt>
    <dgm:pt modelId="{A4BBBE8F-23E9-418B-B0F4-697930891370}" type="pres">
      <dgm:prSet presAssocID="{15A13186-CEF8-4A77-BA72-2BE7F7AF2BE4}" presName="conn2-1" presStyleLbl="parChTrans1D3" presStyleIdx="4" presStyleCnt="6"/>
      <dgm:spPr/>
    </dgm:pt>
    <dgm:pt modelId="{9D3096C5-CD56-4117-A769-3EC169BFCF1F}" type="pres">
      <dgm:prSet presAssocID="{15A13186-CEF8-4A77-BA72-2BE7F7AF2BE4}" presName="connTx" presStyleLbl="parChTrans1D3" presStyleIdx="4" presStyleCnt="6"/>
      <dgm:spPr/>
    </dgm:pt>
    <dgm:pt modelId="{1213E173-87F3-41D4-A6B9-71079737AF32}" type="pres">
      <dgm:prSet presAssocID="{49E915B8-A094-4F20-A4EE-0F084D9E52AD}" presName="root2" presStyleCnt="0"/>
      <dgm:spPr/>
    </dgm:pt>
    <dgm:pt modelId="{D3F1197B-74EF-4F3A-A314-71E92066F6C0}" type="pres">
      <dgm:prSet presAssocID="{49E915B8-A094-4F20-A4EE-0F084D9E52AD}" presName="LevelTwoTextNode" presStyleLbl="node3" presStyleIdx="4" presStyleCnt="6" custScaleX="145503">
        <dgm:presLayoutVars>
          <dgm:chPref val="3"/>
        </dgm:presLayoutVars>
      </dgm:prSet>
      <dgm:spPr/>
    </dgm:pt>
    <dgm:pt modelId="{4B1EE8A3-00AA-40D1-9FBC-BF107251DE82}" type="pres">
      <dgm:prSet presAssocID="{49E915B8-A094-4F20-A4EE-0F084D9E52AD}" presName="level3hierChild" presStyleCnt="0"/>
      <dgm:spPr/>
    </dgm:pt>
    <dgm:pt modelId="{39FCC58C-DCCC-48D5-AA68-FD2607A942E2}" type="pres">
      <dgm:prSet presAssocID="{42A807CB-0EE6-43F7-B577-23C53C926E92}" presName="conn2-1" presStyleLbl="parChTrans1D3" presStyleIdx="5" presStyleCnt="6"/>
      <dgm:spPr/>
    </dgm:pt>
    <dgm:pt modelId="{D1681F1E-9464-4B91-98D8-08FEFF92E41B}" type="pres">
      <dgm:prSet presAssocID="{42A807CB-0EE6-43F7-B577-23C53C926E92}" presName="connTx" presStyleLbl="parChTrans1D3" presStyleIdx="5" presStyleCnt="6"/>
      <dgm:spPr/>
    </dgm:pt>
    <dgm:pt modelId="{3283ADEA-4D21-4611-B4CA-248DCD9BD61D}" type="pres">
      <dgm:prSet presAssocID="{6E0D4FB5-B4CE-44B0-A8AE-8EA12B30D9AB}" presName="root2" presStyleCnt="0"/>
      <dgm:spPr/>
    </dgm:pt>
    <dgm:pt modelId="{3262AACF-64BB-470C-9B39-B6C6BD30F384}" type="pres">
      <dgm:prSet presAssocID="{6E0D4FB5-B4CE-44B0-A8AE-8EA12B30D9AB}" presName="LevelTwoTextNode" presStyleLbl="node3" presStyleIdx="5" presStyleCnt="6" custScaleX="233928" custScaleY="133765">
        <dgm:presLayoutVars>
          <dgm:chPref val="3"/>
        </dgm:presLayoutVars>
      </dgm:prSet>
      <dgm:spPr/>
    </dgm:pt>
    <dgm:pt modelId="{EF55F724-7B76-451D-96FF-50E7017C4A13}" type="pres">
      <dgm:prSet presAssocID="{6E0D4FB5-B4CE-44B0-A8AE-8EA12B30D9AB}" presName="level3hierChild" presStyleCnt="0"/>
      <dgm:spPr/>
    </dgm:pt>
    <dgm:pt modelId="{2616D7E6-42C7-4E99-BD57-F4D5424F1A3E}" type="pres">
      <dgm:prSet presAssocID="{36616B42-2005-40C2-B84F-4ACD34D34728}" presName="conn2-1" presStyleLbl="parChTrans1D2" presStyleIdx="2" presStyleCnt="7"/>
      <dgm:spPr/>
    </dgm:pt>
    <dgm:pt modelId="{F3C9FA35-C511-49FE-BED5-E8E1D311C210}" type="pres">
      <dgm:prSet presAssocID="{36616B42-2005-40C2-B84F-4ACD34D34728}" presName="connTx" presStyleLbl="parChTrans1D2" presStyleIdx="2" presStyleCnt="7"/>
      <dgm:spPr/>
    </dgm:pt>
    <dgm:pt modelId="{4264C64D-3677-487A-B38E-5BF4E52AEA24}" type="pres">
      <dgm:prSet presAssocID="{53A04DA1-D2F2-405E-95AA-9675A8FB8D9A}" presName="root2" presStyleCnt="0"/>
      <dgm:spPr/>
    </dgm:pt>
    <dgm:pt modelId="{46447F3E-3233-425B-A818-3367662934EE}" type="pres">
      <dgm:prSet presAssocID="{53A04DA1-D2F2-405E-95AA-9675A8FB8D9A}" presName="LevelTwoTextNode" presStyleLbl="node2" presStyleIdx="2" presStyleCnt="7" custScaleX="231485">
        <dgm:presLayoutVars>
          <dgm:chPref val="3"/>
        </dgm:presLayoutVars>
      </dgm:prSet>
      <dgm:spPr/>
    </dgm:pt>
    <dgm:pt modelId="{4536B61F-099C-42CF-BCDF-8A68A85046B2}" type="pres">
      <dgm:prSet presAssocID="{53A04DA1-D2F2-405E-95AA-9675A8FB8D9A}" presName="level3hierChild" presStyleCnt="0"/>
      <dgm:spPr/>
    </dgm:pt>
    <dgm:pt modelId="{294B74C8-EE3A-4232-A0CB-8FA598D29A21}" type="pres">
      <dgm:prSet presAssocID="{B12B6AA0-C5F7-4C74-9803-B6CBD123ED0C}" presName="conn2-1" presStyleLbl="parChTrans1D2" presStyleIdx="3" presStyleCnt="7"/>
      <dgm:spPr/>
    </dgm:pt>
    <dgm:pt modelId="{1BDDDB9F-308B-4B4D-8B91-EC2E66639892}" type="pres">
      <dgm:prSet presAssocID="{B12B6AA0-C5F7-4C74-9803-B6CBD123ED0C}" presName="connTx" presStyleLbl="parChTrans1D2" presStyleIdx="3" presStyleCnt="7"/>
      <dgm:spPr/>
    </dgm:pt>
    <dgm:pt modelId="{5F4FDAC8-D265-4D69-B264-DDD092B9D44E}" type="pres">
      <dgm:prSet presAssocID="{29D2FE58-5894-40A1-83FF-9636B3475A76}" presName="root2" presStyleCnt="0"/>
      <dgm:spPr/>
    </dgm:pt>
    <dgm:pt modelId="{02B6C4CF-266F-4408-AB26-EEE5C47F3501}" type="pres">
      <dgm:prSet presAssocID="{29D2FE58-5894-40A1-83FF-9636B3475A76}" presName="LevelTwoTextNode" presStyleLbl="node2" presStyleIdx="3" presStyleCnt="7" custScaleX="408049">
        <dgm:presLayoutVars>
          <dgm:chPref val="3"/>
        </dgm:presLayoutVars>
      </dgm:prSet>
      <dgm:spPr/>
    </dgm:pt>
    <dgm:pt modelId="{622758FE-0F42-4874-8821-DE2F9315977C}" type="pres">
      <dgm:prSet presAssocID="{29D2FE58-5894-40A1-83FF-9636B3475A76}" presName="level3hierChild" presStyleCnt="0"/>
      <dgm:spPr/>
    </dgm:pt>
    <dgm:pt modelId="{E7DE7444-F299-4B3A-9619-A52D8712EF6D}" type="pres">
      <dgm:prSet presAssocID="{DBD3A1FE-FDFC-4764-832D-593E019399EE}" presName="conn2-1" presStyleLbl="parChTrans1D2" presStyleIdx="4" presStyleCnt="7"/>
      <dgm:spPr/>
    </dgm:pt>
    <dgm:pt modelId="{72B98D90-5C2D-417E-9AE8-D359C74B54B4}" type="pres">
      <dgm:prSet presAssocID="{DBD3A1FE-FDFC-4764-832D-593E019399EE}" presName="connTx" presStyleLbl="parChTrans1D2" presStyleIdx="4" presStyleCnt="7"/>
      <dgm:spPr/>
    </dgm:pt>
    <dgm:pt modelId="{F6406A2F-C087-4C7E-9C26-AF339D471472}" type="pres">
      <dgm:prSet presAssocID="{63F211F0-13D9-424D-BC73-12E1483C20FE}" presName="root2" presStyleCnt="0"/>
      <dgm:spPr/>
    </dgm:pt>
    <dgm:pt modelId="{90BDDE92-FBD3-466F-A447-C811294C32B4}" type="pres">
      <dgm:prSet presAssocID="{63F211F0-13D9-424D-BC73-12E1483C20FE}" presName="LevelTwoTextNode" presStyleLbl="node2" presStyleIdx="4" presStyleCnt="7" custScaleX="412092">
        <dgm:presLayoutVars>
          <dgm:chPref val="3"/>
        </dgm:presLayoutVars>
      </dgm:prSet>
      <dgm:spPr/>
    </dgm:pt>
    <dgm:pt modelId="{67EBA1AC-1F54-4541-B411-64A2DE4FD392}" type="pres">
      <dgm:prSet presAssocID="{63F211F0-13D9-424D-BC73-12E1483C20FE}" presName="level3hierChild" presStyleCnt="0"/>
      <dgm:spPr/>
    </dgm:pt>
    <dgm:pt modelId="{DF129888-47F6-4D6C-AC05-0AE79C32F1CB}" type="pres">
      <dgm:prSet presAssocID="{A3EA5241-D476-4506-96CE-CAF27473FA39}" presName="conn2-1" presStyleLbl="parChTrans1D2" presStyleIdx="5" presStyleCnt="7"/>
      <dgm:spPr/>
    </dgm:pt>
    <dgm:pt modelId="{2766F2B1-F9C5-47EC-B258-19788D0EE287}" type="pres">
      <dgm:prSet presAssocID="{A3EA5241-D476-4506-96CE-CAF27473FA39}" presName="connTx" presStyleLbl="parChTrans1D2" presStyleIdx="5" presStyleCnt="7"/>
      <dgm:spPr/>
    </dgm:pt>
    <dgm:pt modelId="{F7AB75BD-7E6D-41C7-87F3-8BFE75B43C85}" type="pres">
      <dgm:prSet presAssocID="{3D0F8FF6-FF8C-4FF7-9FE0-6B085863E770}" presName="root2" presStyleCnt="0"/>
      <dgm:spPr/>
    </dgm:pt>
    <dgm:pt modelId="{B0F6D03B-EC14-4CC7-B6C9-8FE8534B68E9}" type="pres">
      <dgm:prSet presAssocID="{3D0F8FF6-FF8C-4FF7-9FE0-6B085863E770}" presName="LevelTwoTextNode" presStyleLbl="node2" presStyleIdx="5" presStyleCnt="7" custScaleX="411426">
        <dgm:presLayoutVars>
          <dgm:chPref val="3"/>
        </dgm:presLayoutVars>
      </dgm:prSet>
      <dgm:spPr/>
    </dgm:pt>
    <dgm:pt modelId="{CBB39273-D1CB-4AB6-BBDA-31283110799F}" type="pres">
      <dgm:prSet presAssocID="{3D0F8FF6-FF8C-4FF7-9FE0-6B085863E770}" presName="level3hierChild" presStyleCnt="0"/>
      <dgm:spPr/>
    </dgm:pt>
    <dgm:pt modelId="{65378CBD-30DD-427E-91D4-B4149BFEF89B}" type="pres">
      <dgm:prSet presAssocID="{2E4F6CD1-F3CF-4B80-AE7B-DAAAE7863AA1}" presName="conn2-1" presStyleLbl="parChTrans1D2" presStyleIdx="6" presStyleCnt="7"/>
      <dgm:spPr/>
    </dgm:pt>
    <dgm:pt modelId="{B5206D26-3B2D-4B63-B776-D7232DFFF6EF}" type="pres">
      <dgm:prSet presAssocID="{2E4F6CD1-F3CF-4B80-AE7B-DAAAE7863AA1}" presName="connTx" presStyleLbl="parChTrans1D2" presStyleIdx="6" presStyleCnt="7"/>
      <dgm:spPr/>
    </dgm:pt>
    <dgm:pt modelId="{A94880C4-E460-4A59-918D-A3B18B5014F2}" type="pres">
      <dgm:prSet presAssocID="{03EE0948-0FB1-4B6F-ACC5-4BD64570E91F}" presName="root2" presStyleCnt="0"/>
      <dgm:spPr/>
    </dgm:pt>
    <dgm:pt modelId="{BF1806B7-2550-4FAC-B33B-1DAF3938992D}" type="pres">
      <dgm:prSet presAssocID="{03EE0948-0FB1-4B6F-ACC5-4BD64570E91F}" presName="LevelTwoTextNode" presStyleLbl="node2" presStyleIdx="6" presStyleCnt="7" custScaleX="419121">
        <dgm:presLayoutVars>
          <dgm:chPref val="3"/>
        </dgm:presLayoutVars>
      </dgm:prSet>
      <dgm:spPr/>
    </dgm:pt>
    <dgm:pt modelId="{8BC620A0-92DB-4889-AAAE-D0D51673F5AE}" type="pres">
      <dgm:prSet presAssocID="{03EE0948-0FB1-4B6F-ACC5-4BD64570E91F}" presName="level3hierChild" presStyleCnt="0"/>
      <dgm:spPr/>
    </dgm:pt>
  </dgm:ptLst>
  <dgm:cxnLst>
    <dgm:cxn modelId="{02E22A0C-867C-4D51-8D1F-678651AB9B8D}" type="presOf" srcId="{F40330EC-A0FC-403C-BB9B-53379126330A}" destId="{3A739DF0-5964-49FF-99BB-321530138F57}" srcOrd="0" destOrd="0" presId="urn:microsoft.com/office/officeart/2005/8/layout/hierarchy2"/>
    <dgm:cxn modelId="{90A7C80C-235F-4241-A2BE-EAED99E9B6BC}" type="presOf" srcId="{72ACF329-F4C8-4D09-B21A-08C18F7CAAB4}" destId="{EED4315D-71D2-4BF5-AE4D-34E037DFE265}" srcOrd="0" destOrd="0" presId="urn:microsoft.com/office/officeart/2005/8/layout/hierarchy2"/>
    <dgm:cxn modelId="{ECC66B10-F6C2-432D-B47B-C7355E321436}" type="presOf" srcId="{E256285F-4B37-4A32-BFA9-7E926DAA001A}" destId="{8F067FF3-6EC6-4FC1-9D9F-3737682DFEF6}" srcOrd="0" destOrd="0" presId="urn:microsoft.com/office/officeart/2005/8/layout/hierarchy2"/>
    <dgm:cxn modelId="{8698A01C-8390-4DB4-876F-DA6AD02F2F5D}" type="presOf" srcId="{63F211F0-13D9-424D-BC73-12E1483C20FE}" destId="{90BDDE92-FBD3-466F-A447-C811294C32B4}" srcOrd="0" destOrd="0" presId="urn:microsoft.com/office/officeart/2005/8/layout/hierarchy2"/>
    <dgm:cxn modelId="{AEAFC021-6B58-47EB-B17D-88D1B2722B9F}" srcId="{7B513314-221C-4248-B4D5-208618BEE9AC}" destId="{3D0F8FF6-FF8C-4FF7-9FE0-6B085863E770}" srcOrd="5" destOrd="0" parTransId="{A3EA5241-D476-4506-96CE-CAF27473FA39}" sibTransId="{A9AABCC1-DC49-40D1-8C3F-3E6B837FFFD5}"/>
    <dgm:cxn modelId="{7CB2B122-0711-48DB-912E-5DF68792DA1E}" type="presOf" srcId="{03EE0948-0FB1-4B6F-ACC5-4BD64570E91F}" destId="{BF1806B7-2550-4FAC-B33B-1DAF3938992D}" srcOrd="0" destOrd="0" presId="urn:microsoft.com/office/officeart/2005/8/layout/hierarchy2"/>
    <dgm:cxn modelId="{695FF525-BB58-49E0-8E4D-B38911AA52C9}" type="presOf" srcId="{15A13186-CEF8-4A77-BA72-2BE7F7AF2BE4}" destId="{9D3096C5-CD56-4117-A769-3EC169BFCF1F}" srcOrd="1" destOrd="0" presId="urn:microsoft.com/office/officeart/2005/8/layout/hierarchy2"/>
    <dgm:cxn modelId="{AA0E8C26-5744-468B-A9A4-557EEC4029AC}" type="presOf" srcId="{D33A42BB-1D45-487E-96B3-E306ADDEE0CE}" destId="{9B82F54D-E692-408D-B6AA-A58D9A6310F1}" srcOrd="1" destOrd="0" presId="urn:microsoft.com/office/officeart/2005/8/layout/hierarchy2"/>
    <dgm:cxn modelId="{8F8EF22B-4B4D-46F4-B116-FA66BFBF788A}" srcId="{7B513314-221C-4248-B4D5-208618BEE9AC}" destId="{29D2FE58-5894-40A1-83FF-9636B3475A76}" srcOrd="3" destOrd="0" parTransId="{B12B6AA0-C5F7-4C74-9803-B6CBD123ED0C}" sibTransId="{3D178105-F9F0-4E80-BDA3-1BC588011EF2}"/>
    <dgm:cxn modelId="{C35F1E30-267F-42CA-951B-7793DA299725}" type="presOf" srcId="{EDC70EC8-C4B9-4255-86D6-EC2CA7EB149A}" destId="{DA78B694-52BC-4378-BF87-33D5B371B739}" srcOrd="0" destOrd="0" presId="urn:microsoft.com/office/officeart/2005/8/layout/hierarchy2"/>
    <dgm:cxn modelId="{DC66B432-7610-4D24-BF73-112354D26837}" type="presOf" srcId="{7B513314-221C-4248-B4D5-208618BEE9AC}" destId="{71E8A641-9509-47DA-A2C9-CBD720486ABD}" srcOrd="0" destOrd="0" presId="urn:microsoft.com/office/officeart/2005/8/layout/hierarchy2"/>
    <dgm:cxn modelId="{63451A33-0EA6-4C59-9F59-10321DCF57EC}" type="presOf" srcId="{42A807CB-0EE6-43F7-B577-23C53C926E92}" destId="{39FCC58C-DCCC-48D5-AA68-FD2607A942E2}" srcOrd="0" destOrd="0" presId="urn:microsoft.com/office/officeart/2005/8/layout/hierarchy2"/>
    <dgm:cxn modelId="{7101F735-A8E5-4DE7-AA1E-BB4CBFF6183E}" type="presOf" srcId="{DBD3A1FE-FDFC-4764-832D-593E019399EE}" destId="{72B98D90-5C2D-417E-9AE8-D359C74B54B4}" srcOrd="1" destOrd="0" presId="urn:microsoft.com/office/officeart/2005/8/layout/hierarchy2"/>
    <dgm:cxn modelId="{74AF1C38-00AB-4354-80C4-BB18C7A332C7}" srcId="{E256285F-4B37-4A32-BFA9-7E926DAA001A}" destId="{7B513314-221C-4248-B4D5-208618BEE9AC}" srcOrd="0" destOrd="0" parTransId="{841ACAC8-E320-413C-B193-875BF42AD2E2}" sibTransId="{8009FCF2-5A45-4B07-8E71-E1D83BF9F3CD}"/>
    <dgm:cxn modelId="{9FAE283B-79F7-43C0-A1DD-49A54142E376}" srcId="{251C3467-91F6-46B6-BAE0-5215D7872A7F}" destId="{60B620B6-28DD-4F60-8C55-FC4451D84F6F}" srcOrd="0" destOrd="0" parTransId="{F40330EC-A0FC-403C-BB9B-53379126330A}" sibTransId="{D803D4B5-07C2-4C35-BCFB-EA5BF4F4FA04}"/>
    <dgm:cxn modelId="{8A80503C-4B1A-4722-AA11-D97272A3E417}" type="presOf" srcId="{B12B6AA0-C5F7-4C74-9803-B6CBD123ED0C}" destId="{1BDDDB9F-308B-4B4D-8B91-EC2E66639892}" srcOrd="1" destOrd="0" presId="urn:microsoft.com/office/officeart/2005/8/layout/hierarchy2"/>
    <dgm:cxn modelId="{8C7B843C-EF78-4F5A-AC3D-82FF43CDB703}" type="presOf" srcId="{448F23BD-A6F2-40E8-8DAF-D0FAAAE72DB7}" destId="{83460D9C-6720-4F69-BCDD-975E80224DD9}" srcOrd="1" destOrd="0" presId="urn:microsoft.com/office/officeart/2005/8/layout/hierarchy2"/>
    <dgm:cxn modelId="{B2159F3E-6943-4C01-B07D-3E8F1D348E7C}" type="presOf" srcId="{15A13186-CEF8-4A77-BA72-2BE7F7AF2BE4}" destId="{A4BBBE8F-23E9-418B-B0F4-697930891370}" srcOrd="0" destOrd="0" presId="urn:microsoft.com/office/officeart/2005/8/layout/hierarchy2"/>
    <dgm:cxn modelId="{165DE43F-A22D-44B2-BE7A-AB5AEC1CE69C}" srcId="{EDC70EC8-C4B9-4255-86D6-EC2CA7EB149A}" destId="{2492120B-06DC-4630-B236-6DC86342DE1B}" srcOrd="2" destOrd="0" parTransId="{D33A42BB-1D45-487E-96B3-E306ADDEE0CE}" sibTransId="{FD101445-0A09-45E0-81E0-BA335888B279}"/>
    <dgm:cxn modelId="{F14AD145-0690-479A-9C93-CC4E069841C0}" srcId="{7B513314-221C-4248-B4D5-208618BEE9AC}" destId="{03EE0948-0FB1-4B6F-ACC5-4BD64570E91F}" srcOrd="6" destOrd="0" parTransId="{2E4F6CD1-F3CF-4B80-AE7B-DAAAE7863AA1}" sibTransId="{A47DDA2A-0C92-435D-99FF-93810E554A78}"/>
    <dgm:cxn modelId="{B6A6A74B-BA38-4B11-B7DE-9E156CEF63A6}" type="presOf" srcId="{2E4F6CD1-F3CF-4B80-AE7B-DAAAE7863AA1}" destId="{65378CBD-30DD-427E-91D4-B4149BFEF89B}" srcOrd="0" destOrd="0" presId="urn:microsoft.com/office/officeart/2005/8/layout/hierarchy2"/>
    <dgm:cxn modelId="{B4F1674C-F9D2-4A10-ADA1-4745E799F9B9}" type="presOf" srcId="{6F800BA5-3009-49D7-92AD-78DD7BB98A1A}" destId="{E81CBCEF-1F2D-45DE-8C63-C4D4C1362C5C}" srcOrd="0" destOrd="0" presId="urn:microsoft.com/office/officeart/2005/8/layout/hierarchy2"/>
    <dgm:cxn modelId="{3109F54D-D45C-4AE4-8DE2-F575B270D1F5}" type="presOf" srcId="{29D2FE58-5894-40A1-83FF-9636B3475A76}" destId="{02B6C4CF-266F-4408-AB26-EEE5C47F3501}" srcOrd="0" destOrd="0" presId="urn:microsoft.com/office/officeart/2005/8/layout/hierarchy2"/>
    <dgm:cxn modelId="{1131CE53-87B3-4D1A-AC42-C006934FFC5B}" type="presOf" srcId="{ADC7F682-7241-419E-B02D-1992EDBE716D}" destId="{798EF0B1-BA5F-4BE6-B8BA-DE9CD29839CF}" srcOrd="0" destOrd="0" presId="urn:microsoft.com/office/officeart/2005/8/layout/hierarchy2"/>
    <dgm:cxn modelId="{C169E753-E592-425F-9EA9-11CE33217B2E}" srcId="{7B513314-221C-4248-B4D5-208618BEE9AC}" destId="{EDC70EC8-C4B9-4255-86D6-EC2CA7EB149A}" srcOrd="0" destOrd="0" parTransId="{FCA16D7E-CE22-49B9-89AB-6F5B328C88D9}" sibTransId="{49BD4296-26A7-4CB8-99E9-2C0D41A98007}"/>
    <dgm:cxn modelId="{EEF74354-EAF0-44A4-818C-C8FFAFCC4321}" srcId="{7B513314-221C-4248-B4D5-208618BEE9AC}" destId="{53A04DA1-D2F2-405E-95AA-9675A8FB8D9A}" srcOrd="2" destOrd="0" parTransId="{36616B42-2005-40C2-B84F-4ACD34D34728}" sibTransId="{E0E6ED72-1582-4D11-8B8C-6B60B6B185EA}"/>
    <dgm:cxn modelId="{564CFE60-77EA-4386-BA15-DCA60A24DD72}" type="presOf" srcId="{A3EA5241-D476-4506-96CE-CAF27473FA39}" destId="{DF129888-47F6-4D6C-AC05-0AE79C32F1CB}" srcOrd="0" destOrd="0" presId="urn:microsoft.com/office/officeart/2005/8/layout/hierarchy2"/>
    <dgm:cxn modelId="{4B792961-7E3E-45BA-885E-F0686847A08D}" srcId="{7B513314-221C-4248-B4D5-208618BEE9AC}" destId="{251C3467-91F6-46B6-BAE0-5215D7872A7F}" srcOrd="1" destOrd="0" parTransId="{ADC7F682-7241-419E-B02D-1992EDBE716D}" sibTransId="{BA72AB5C-2007-409B-ADDD-B54B891BDCED}"/>
    <dgm:cxn modelId="{51D89669-C489-426A-AA3B-47879869FD50}" type="presOf" srcId="{49E915B8-A094-4F20-A4EE-0F084D9E52AD}" destId="{D3F1197B-74EF-4F3A-A314-71E92066F6C0}" srcOrd="0" destOrd="0" presId="urn:microsoft.com/office/officeart/2005/8/layout/hierarchy2"/>
    <dgm:cxn modelId="{69FFA06D-BC91-463B-BAC3-FC1AA7B7F7F0}" type="presOf" srcId="{ADC7F682-7241-419E-B02D-1992EDBE716D}" destId="{351D47F5-844E-410C-B8AF-E0E57086E97A}" srcOrd="1" destOrd="0" presId="urn:microsoft.com/office/officeart/2005/8/layout/hierarchy2"/>
    <dgm:cxn modelId="{84E5B271-68DC-4D89-9DB7-B6752A63CE8A}" type="presOf" srcId="{448F23BD-A6F2-40E8-8DAF-D0FAAAE72DB7}" destId="{CCDE4B05-F266-4B47-B449-B7CF1C184B61}" srcOrd="0" destOrd="0" presId="urn:microsoft.com/office/officeart/2005/8/layout/hierarchy2"/>
    <dgm:cxn modelId="{5C91E373-FB6D-40CC-A40E-29E1E6CA5E21}" type="presOf" srcId="{36616B42-2005-40C2-B84F-4ACD34D34728}" destId="{F3C9FA35-C511-49FE-BED5-E8E1D311C210}" srcOrd="1" destOrd="0" presId="urn:microsoft.com/office/officeart/2005/8/layout/hierarchy2"/>
    <dgm:cxn modelId="{97398F7E-D381-4A3D-86BE-BCD1A9AA4A3C}" srcId="{251C3467-91F6-46B6-BAE0-5215D7872A7F}" destId="{6E0D4FB5-B4CE-44B0-A8AE-8EA12B30D9AB}" srcOrd="2" destOrd="0" parTransId="{42A807CB-0EE6-43F7-B577-23C53C926E92}" sibTransId="{0BE95CDC-D7C7-4044-B10E-0C55CC844A33}"/>
    <dgm:cxn modelId="{8A41C27F-6E6B-481C-8870-95A996552176}" type="presOf" srcId="{36616B42-2005-40C2-B84F-4ACD34D34728}" destId="{2616D7E6-42C7-4E99-BD57-F4D5424F1A3E}" srcOrd="0" destOrd="0" presId="urn:microsoft.com/office/officeart/2005/8/layout/hierarchy2"/>
    <dgm:cxn modelId="{EDBA7981-E761-480D-A122-8610C931FC02}" type="presOf" srcId="{2E4F6CD1-F3CF-4B80-AE7B-DAAAE7863AA1}" destId="{B5206D26-3B2D-4B63-B776-D7232DFFF6EF}" srcOrd="1" destOrd="0" presId="urn:microsoft.com/office/officeart/2005/8/layout/hierarchy2"/>
    <dgm:cxn modelId="{F0531084-CF87-4749-B39F-DF1E63C6D6AD}" type="presOf" srcId="{6E0D4FB5-B4CE-44B0-A8AE-8EA12B30D9AB}" destId="{3262AACF-64BB-470C-9B39-B6C6BD30F384}" srcOrd="0" destOrd="0" presId="urn:microsoft.com/office/officeart/2005/8/layout/hierarchy2"/>
    <dgm:cxn modelId="{A41AAE84-6EC0-42F8-9435-8A8822158338}" type="presOf" srcId="{2492120B-06DC-4630-B236-6DC86342DE1B}" destId="{7FC110E6-61A7-4A64-A56F-D4AC8233334B}" srcOrd="0" destOrd="0" presId="urn:microsoft.com/office/officeart/2005/8/layout/hierarchy2"/>
    <dgm:cxn modelId="{90173586-63F2-4A3E-B648-371D562B1C69}" type="presOf" srcId="{F40330EC-A0FC-403C-BB9B-53379126330A}" destId="{7F2ED964-C9D6-4F69-B72C-6136319237A5}" srcOrd="1" destOrd="0" presId="urn:microsoft.com/office/officeart/2005/8/layout/hierarchy2"/>
    <dgm:cxn modelId="{0BFBCC86-821F-4147-8BE3-AB04B71DC62F}" srcId="{EDC70EC8-C4B9-4255-86D6-EC2CA7EB149A}" destId="{72ACF329-F4C8-4D09-B21A-08C18F7CAAB4}" srcOrd="1" destOrd="0" parTransId="{448F23BD-A6F2-40E8-8DAF-D0FAAAE72DB7}" sibTransId="{A887878B-9FF9-4344-B331-6A72A7A7669A}"/>
    <dgm:cxn modelId="{F275F497-493C-490C-AB79-4A71C5011FD4}" type="presOf" srcId="{72C0555A-DB11-447C-9CD8-D84A91007119}" destId="{DC7AAAF1-FD14-41F5-8AB7-A2EB14D6DEBB}" srcOrd="1" destOrd="0" presId="urn:microsoft.com/office/officeart/2005/8/layout/hierarchy2"/>
    <dgm:cxn modelId="{C917F799-4B2F-4C3E-8AF1-5840A3958096}" type="presOf" srcId="{251C3467-91F6-46B6-BAE0-5215D7872A7F}" destId="{054B0075-B1AE-413F-BB24-03D7028D568D}" srcOrd="0" destOrd="0" presId="urn:microsoft.com/office/officeart/2005/8/layout/hierarchy2"/>
    <dgm:cxn modelId="{800DC4A0-1C3D-43EC-B976-F07A11FF073F}" type="presOf" srcId="{B12B6AA0-C5F7-4C74-9803-B6CBD123ED0C}" destId="{294B74C8-EE3A-4232-A0CB-8FA598D29A21}" srcOrd="0" destOrd="0" presId="urn:microsoft.com/office/officeart/2005/8/layout/hierarchy2"/>
    <dgm:cxn modelId="{BA236BA3-AAE7-4C8C-ACB9-46303BE618DF}" type="presOf" srcId="{72C0555A-DB11-447C-9CD8-D84A91007119}" destId="{73835DEF-4F29-4D05-9E63-3257BD7D166A}" srcOrd="0" destOrd="0" presId="urn:microsoft.com/office/officeart/2005/8/layout/hierarchy2"/>
    <dgm:cxn modelId="{5DA38EAD-86BB-466E-84DC-161B54E9CA21}" srcId="{EDC70EC8-C4B9-4255-86D6-EC2CA7EB149A}" destId="{6F800BA5-3009-49D7-92AD-78DD7BB98A1A}" srcOrd="0" destOrd="0" parTransId="{72C0555A-DB11-447C-9CD8-D84A91007119}" sibTransId="{B18011AE-9D2A-42CD-89EF-C9E362AC01BB}"/>
    <dgm:cxn modelId="{10F9AEAD-413A-4030-8909-A4215E37FD9B}" type="presOf" srcId="{D33A42BB-1D45-487E-96B3-E306ADDEE0CE}" destId="{A94CB019-2151-4963-AB0B-506FEADCF175}" srcOrd="0" destOrd="0" presId="urn:microsoft.com/office/officeart/2005/8/layout/hierarchy2"/>
    <dgm:cxn modelId="{AB2E4FB2-3350-4921-BA76-4B1535CFDA08}" type="presOf" srcId="{60B620B6-28DD-4F60-8C55-FC4451D84F6F}" destId="{7E976FD7-E153-4392-96A1-5E96DDA27A8B}" srcOrd="0" destOrd="0" presId="urn:microsoft.com/office/officeart/2005/8/layout/hierarchy2"/>
    <dgm:cxn modelId="{4674E3BB-EAE0-47D5-9DB0-1F148C93A7CE}" type="presOf" srcId="{A3EA5241-D476-4506-96CE-CAF27473FA39}" destId="{2766F2B1-F9C5-47EC-B258-19788D0EE287}" srcOrd="1" destOrd="0" presId="urn:microsoft.com/office/officeart/2005/8/layout/hierarchy2"/>
    <dgm:cxn modelId="{C38D47C4-C411-402D-89C5-60B9D3B51D4E}" srcId="{7B513314-221C-4248-B4D5-208618BEE9AC}" destId="{63F211F0-13D9-424D-BC73-12E1483C20FE}" srcOrd="4" destOrd="0" parTransId="{DBD3A1FE-FDFC-4764-832D-593E019399EE}" sibTransId="{69132D6A-9BDB-492D-BE83-18129019B753}"/>
    <dgm:cxn modelId="{8497C0C6-FA4C-48B7-9A4F-A06C50425DA8}" type="presOf" srcId="{DBD3A1FE-FDFC-4764-832D-593E019399EE}" destId="{E7DE7444-F299-4B3A-9619-A52D8712EF6D}" srcOrd="0" destOrd="0" presId="urn:microsoft.com/office/officeart/2005/8/layout/hierarchy2"/>
    <dgm:cxn modelId="{D2035EC7-B2B1-4AD9-9827-876B0FD082DA}" type="presOf" srcId="{FCA16D7E-CE22-49B9-89AB-6F5B328C88D9}" destId="{C9D14259-AD51-4D28-95E0-E5292684BA1F}" srcOrd="1" destOrd="0" presId="urn:microsoft.com/office/officeart/2005/8/layout/hierarchy2"/>
    <dgm:cxn modelId="{94965BD5-76F5-4D75-AF45-42842D82E70D}" type="presOf" srcId="{42A807CB-0EE6-43F7-B577-23C53C926E92}" destId="{D1681F1E-9464-4B91-98D8-08FEFF92E41B}" srcOrd="1" destOrd="0" presId="urn:microsoft.com/office/officeart/2005/8/layout/hierarchy2"/>
    <dgm:cxn modelId="{87C54FD8-2AE9-4490-8595-14E7057F70AB}" type="presOf" srcId="{53A04DA1-D2F2-405E-95AA-9675A8FB8D9A}" destId="{46447F3E-3233-425B-A818-3367662934EE}" srcOrd="0" destOrd="0" presId="urn:microsoft.com/office/officeart/2005/8/layout/hierarchy2"/>
    <dgm:cxn modelId="{4EBF1ADB-AB28-4F76-8381-07494C85EA86}" type="presOf" srcId="{3D0F8FF6-FF8C-4FF7-9FE0-6B085863E770}" destId="{B0F6D03B-EC14-4CC7-B6C9-8FE8534B68E9}" srcOrd="0" destOrd="0" presId="urn:microsoft.com/office/officeart/2005/8/layout/hierarchy2"/>
    <dgm:cxn modelId="{4EE9B1DD-7E53-4437-A32E-C2DE9E82A083}" type="presOf" srcId="{FCA16D7E-CE22-49B9-89AB-6F5B328C88D9}" destId="{790AD3A8-B7BA-4D7C-A4D0-6E830A815225}" srcOrd="0" destOrd="0" presId="urn:microsoft.com/office/officeart/2005/8/layout/hierarchy2"/>
    <dgm:cxn modelId="{2A7AFADD-1F4B-4039-9D37-A06FB2434951}" srcId="{251C3467-91F6-46B6-BAE0-5215D7872A7F}" destId="{49E915B8-A094-4F20-A4EE-0F084D9E52AD}" srcOrd="1" destOrd="0" parTransId="{15A13186-CEF8-4A77-BA72-2BE7F7AF2BE4}" sibTransId="{38BE8EC8-87A7-42D8-8B78-C3EB72020E60}"/>
    <dgm:cxn modelId="{C468E4C9-A469-48B2-97A4-7038C2D21441}" type="presParOf" srcId="{8F067FF3-6EC6-4FC1-9D9F-3737682DFEF6}" destId="{269658C5-D1E3-4E18-8350-4F49D472C845}" srcOrd="0" destOrd="0" presId="urn:microsoft.com/office/officeart/2005/8/layout/hierarchy2"/>
    <dgm:cxn modelId="{4DBECBDC-2BE0-4B4B-BFF7-E92128D806C8}" type="presParOf" srcId="{269658C5-D1E3-4E18-8350-4F49D472C845}" destId="{71E8A641-9509-47DA-A2C9-CBD720486ABD}" srcOrd="0" destOrd="0" presId="urn:microsoft.com/office/officeart/2005/8/layout/hierarchy2"/>
    <dgm:cxn modelId="{C04ACF29-871E-4B44-A0E8-2F4B06A8DAAA}" type="presParOf" srcId="{269658C5-D1E3-4E18-8350-4F49D472C845}" destId="{AEB81828-7DAB-4D2A-BA4D-89A94A1B7548}" srcOrd="1" destOrd="0" presId="urn:microsoft.com/office/officeart/2005/8/layout/hierarchy2"/>
    <dgm:cxn modelId="{63B23645-F247-40D5-A1A3-7AD03CCC036A}" type="presParOf" srcId="{AEB81828-7DAB-4D2A-BA4D-89A94A1B7548}" destId="{790AD3A8-B7BA-4D7C-A4D0-6E830A815225}" srcOrd="0" destOrd="0" presId="urn:microsoft.com/office/officeart/2005/8/layout/hierarchy2"/>
    <dgm:cxn modelId="{2CEA8359-D19E-4FD1-A758-BCE0394A727C}" type="presParOf" srcId="{790AD3A8-B7BA-4D7C-A4D0-6E830A815225}" destId="{C9D14259-AD51-4D28-95E0-E5292684BA1F}" srcOrd="0" destOrd="0" presId="urn:microsoft.com/office/officeart/2005/8/layout/hierarchy2"/>
    <dgm:cxn modelId="{0D692F74-4640-4316-8F74-E294105CD5FE}" type="presParOf" srcId="{AEB81828-7DAB-4D2A-BA4D-89A94A1B7548}" destId="{241B79B1-5577-4242-B556-2FA41932A50C}" srcOrd="1" destOrd="0" presId="urn:microsoft.com/office/officeart/2005/8/layout/hierarchy2"/>
    <dgm:cxn modelId="{EF1BA9A1-A48B-4627-8E3B-0EDA4CF1A27F}" type="presParOf" srcId="{241B79B1-5577-4242-B556-2FA41932A50C}" destId="{DA78B694-52BC-4378-BF87-33D5B371B739}" srcOrd="0" destOrd="0" presId="urn:microsoft.com/office/officeart/2005/8/layout/hierarchy2"/>
    <dgm:cxn modelId="{41C48911-D256-4A59-9EB7-46FF32F627B3}" type="presParOf" srcId="{241B79B1-5577-4242-B556-2FA41932A50C}" destId="{0A61A232-F166-4D79-B387-E179AE36F541}" srcOrd="1" destOrd="0" presId="urn:microsoft.com/office/officeart/2005/8/layout/hierarchy2"/>
    <dgm:cxn modelId="{B0CF961D-D4C0-4065-809B-E529B7FDC04E}" type="presParOf" srcId="{0A61A232-F166-4D79-B387-E179AE36F541}" destId="{73835DEF-4F29-4D05-9E63-3257BD7D166A}" srcOrd="0" destOrd="0" presId="urn:microsoft.com/office/officeart/2005/8/layout/hierarchy2"/>
    <dgm:cxn modelId="{D3C6A35F-9D90-46EC-BEA3-67EF34B5F6B4}" type="presParOf" srcId="{73835DEF-4F29-4D05-9E63-3257BD7D166A}" destId="{DC7AAAF1-FD14-41F5-8AB7-A2EB14D6DEBB}" srcOrd="0" destOrd="0" presId="urn:microsoft.com/office/officeart/2005/8/layout/hierarchy2"/>
    <dgm:cxn modelId="{EA849639-C050-4603-9CD0-F3CB64847023}" type="presParOf" srcId="{0A61A232-F166-4D79-B387-E179AE36F541}" destId="{22BA36D6-4500-42C7-AA18-844E07F8E3B6}" srcOrd="1" destOrd="0" presId="urn:microsoft.com/office/officeart/2005/8/layout/hierarchy2"/>
    <dgm:cxn modelId="{D177A939-1BD1-4445-A7F1-C777836B328F}" type="presParOf" srcId="{22BA36D6-4500-42C7-AA18-844E07F8E3B6}" destId="{E81CBCEF-1F2D-45DE-8C63-C4D4C1362C5C}" srcOrd="0" destOrd="0" presId="urn:microsoft.com/office/officeart/2005/8/layout/hierarchy2"/>
    <dgm:cxn modelId="{5144B8AE-D767-4706-BEAB-8322A7042428}" type="presParOf" srcId="{22BA36D6-4500-42C7-AA18-844E07F8E3B6}" destId="{1052054B-39DE-4528-99FD-CCD599A6F9C6}" srcOrd="1" destOrd="0" presId="urn:microsoft.com/office/officeart/2005/8/layout/hierarchy2"/>
    <dgm:cxn modelId="{DDF21671-293C-4DE1-A13F-2BA4DEF2656F}" type="presParOf" srcId="{0A61A232-F166-4D79-B387-E179AE36F541}" destId="{CCDE4B05-F266-4B47-B449-B7CF1C184B61}" srcOrd="2" destOrd="0" presId="urn:microsoft.com/office/officeart/2005/8/layout/hierarchy2"/>
    <dgm:cxn modelId="{F9CC899E-1388-4E9F-99A0-9BAA584C276B}" type="presParOf" srcId="{CCDE4B05-F266-4B47-B449-B7CF1C184B61}" destId="{83460D9C-6720-4F69-BCDD-975E80224DD9}" srcOrd="0" destOrd="0" presId="urn:microsoft.com/office/officeart/2005/8/layout/hierarchy2"/>
    <dgm:cxn modelId="{9EF4723F-EC51-42A7-92D5-F29602169A2E}" type="presParOf" srcId="{0A61A232-F166-4D79-B387-E179AE36F541}" destId="{DA5D49A4-3C12-4258-B8C5-C1B30CFB378F}" srcOrd="3" destOrd="0" presId="urn:microsoft.com/office/officeart/2005/8/layout/hierarchy2"/>
    <dgm:cxn modelId="{C7201759-B42D-4F24-9B6A-12848706B434}" type="presParOf" srcId="{DA5D49A4-3C12-4258-B8C5-C1B30CFB378F}" destId="{EED4315D-71D2-4BF5-AE4D-34E037DFE265}" srcOrd="0" destOrd="0" presId="urn:microsoft.com/office/officeart/2005/8/layout/hierarchy2"/>
    <dgm:cxn modelId="{FFB2F718-B447-46A3-994C-66722652576E}" type="presParOf" srcId="{DA5D49A4-3C12-4258-B8C5-C1B30CFB378F}" destId="{4A2F3DE7-9D41-47FB-9B7A-473E3FAB6234}" srcOrd="1" destOrd="0" presId="urn:microsoft.com/office/officeart/2005/8/layout/hierarchy2"/>
    <dgm:cxn modelId="{047A423D-3ECD-41E7-A079-278286CC021B}" type="presParOf" srcId="{0A61A232-F166-4D79-B387-E179AE36F541}" destId="{A94CB019-2151-4963-AB0B-506FEADCF175}" srcOrd="4" destOrd="0" presId="urn:microsoft.com/office/officeart/2005/8/layout/hierarchy2"/>
    <dgm:cxn modelId="{38AC2868-48E8-408D-9DD0-2D171B1D6295}" type="presParOf" srcId="{A94CB019-2151-4963-AB0B-506FEADCF175}" destId="{9B82F54D-E692-408D-B6AA-A58D9A6310F1}" srcOrd="0" destOrd="0" presId="urn:microsoft.com/office/officeart/2005/8/layout/hierarchy2"/>
    <dgm:cxn modelId="{7ABA870D-5648-4807-8B5C-A2B03AA5DF47}" type="presParOf" srcId="{0A61A232-F166-4D79-B387-E179AE36F541}" destId="{88736B7D-7421-4078-9346-F3BC0B416E20}" srcOrd="5" destOrd="0" presId="urn:microsoft.com/office/officeart/2005/8/layout/hierarchy2"/>
    <dgm:cxn modelId="{5A234AB5-DF6E-4B2D-81EE-00538905C317}" type="presParOf" srcId="{88736B7D-7421-4078-9346-F3BC0B416E20}" destId="{7FC110E6-61A7-4A64-A56F-D4AC8233334B}" srcOrd="0" destOrd="0" presId="urn:microsoft.com/office/officeart/2005/8/layout/hierarchy2"/>
    <dgm:cxn modelId="{397D7D26-57FE-4E96-B8C2-60E5D49F1B76}" type="presParOf" srcId="{88736B7D-7421-4078-9346-F3BC0B416E20}" destId="{27682E27-6F67-44F2-8EA8-F352D7A29829}" srcOrd="1" destOrd="0" presId="urn:microsoft.com/office/officeart/2005/8/layout/hierarchy2"/>
    <dgm:cxn modelId="{60501243-B1AA-45CC-B942-312D6814013B}" type="presParOf" srcId="{AEB81828-7DAB-4D2A-BA4D-89A94A1B7548}" destId="{798EF0B1-BA5F-4BE6-B8BA-DE9CD29839CF}" srcOrd="2" destOrd="0" presId="urn:microsoft.com/office/officeart/2005/8/layout/hierarchy2"/>
    <dgm:cxn modelId="{19EE399C-F593-462A-9348-A4AF4EBACE2F}" type="presParOf" srcId="{798EF0B1-BA5F-4BE6-B8BA-DE9CD29839CF}" destId="{351D47F5-844E-410C-B8AF-E0E57086E97A}" srcOrd="0" destOrd="0" presId="urn:microsoft.com/office/officeart/2005/8/layout/hierarchy2"/>
    <dgm:cxn modelId="{BDB3AB69-0146-4823-A33B-B9466A89C9EC}" type="presParOf" srcId="{AEB81828-7DAB-4D2A-BA4D-89A94A1B7548}" destId="{4AD2E020-440E-4A4D-8414-9E1FD65CD9DC}" srcOrd="3" destOrd="0" presId="urn:microsoft.com/office/officeart/2005/8/layout/hierarchy2"/>
    <dgm:cxn modelId="{1FD34BF5-2AE8-43C2-BC18-99B5B8FB3E1B}" type="presParOf" srcId="{4AD2E020-440E-4A4D-8414-9E1FD65CD9DC}" destId="{054B0075-B1AE-413F-BB24-03D7028D568D}" srcOrd="0" destOrd="0" presId="urn:microsoft.com/office/officeart/2005/8/layout/hierarchy2"/>
    <dgm:cxn modelId="{D14BECB7-99A0-431D-87AA-20429801E0B3}" type="presParOf" srcId="{4AD2E020-440E-4A4D-8414-9E1FD65CD9DC}" destId="{79B7AEED-9B9D-4468-94BD-FAE3E3E53C76}" srcOrd="1" destOrd="0" presId="urn:microsoft.com/office/officeart/2005/8/layout/hierarchy2"/>
    <dgm:cxn modelId="{3B434011-5994-438B-BC9B-154FE0E29590}" type="presParOf" srcId="{79B7AEED-9B9D-4468-94BD-FAE3E3E53C76}" destId="{3A739DF0-5964-49FF-99BB-321530138F57}" srcOrd="0" destOrd="0" presId="urn:microsoft.com/office/officeart/2005/8/layout/hierarchy2"/>
    <dgm:cxn modelId="{DA832A9C-7872-4E1F-AB0E-8E246F624445}" type="presParOf" srcId="{3A739DF0-5964-49FF-99BB-321530138F57}" destId="{7F2ED964-C9D6-4F69-B72C-6136319237A5}" srcOrd="0" destOrd="0" presId="urn:microsoft.com/office/officeart/2005/8/layout/hierarchy2"/>
    <dgm:cxn modelId="{B6E1B86E-1564-4871-BAA8-01EBE5728195}" type="presParOf" srcId="{79B7AEED-9B9D-4468-94BD-FAE3E3E53C76}" destId="{32E746C0-9CB4-4575-AE17-972021F47DCD}" srcOrd="1" destOrd="0" presId="urn:microsoft.com/office/officeart/2005/8/layout/hierarchy2"/>
    <dgm:cxn modelId="{2015D4E2-7760-4056-876C-1AD7493C1E35}" type="presParOf" srcId="{32E746C0-9CB4-4575-AE17-972021F47DCD}" destId="{7E976FD7-E153-4392-96A1-5E96DDA27A8B}" srcOrd="0" destOrd="0" presId="urn:microsoft.com/office/officeart/2005/8/layout/hierarchy2"/>
    <dgm:cxn modelId="{B85BF105-005C-43E6-B336-AC4579154EAC}" type="presParOf" srcId="{32E746C0-9CB4-4575-AE17-972021F47DCD}" destId="{2751D4E6-06A9-4D80-8F1F-7DAF3A70BD1D}" srcOrd="1" destOrd="0" presId="urn:microsoft.com/office/officeart/2005/8/layout/hierarchy2"/>
    <dgm:cxn modelId="{4B1BAD39-D777-4F8E-9129-B2272ACF7995}" type="presParOf" srcId="{79B7AEED-9B9D-4468-94BD-FAE3E3E53C76}" destId="{A4BBBE8F-23E9-418B-B0F4-697930891370}" srcOrd="2" destOrd="0" presId="urn:microsoft.com/office/officeart/2005/8/layout/hierarchy2"/>
    <dgm:cxn modelId="{F0D65966-4C4B-4062-8244-BF972E080A20}" type="presParOf" srcId="{A4BBBE8F-23E9-418B-B0F4-697930891370}" destId="{9D3096C5-CD56-4117-A769-3EC169BFCF1F}" srcOrd="0" destOrd="0" presId="urn:microsoft.com/office/officeart/2005/8/layout/hierarchy2"/>
    <dgm:cxn modelId="{4173868A-AA5F-43B0-8A02-55CA78B3F410}" type="presParOf" srcId="{79B7AEED-9B9D-4468-94BD-FAE3E3E53C76}" destId="{1213E173-87F3-41D4-A6B9-71079737AF32}" srcOrd="3" destOrd="0" presId="urn:microsoft.com/office/officeart/2005/8/layout/hierarchy2"/>
    <dgm:cxn modelId="{CCAABDA7-66DA-44EF-A61D-BCF7D701BFDE}" type="presParOf" srcId="{1213E173-87F3-41D4-A6B9-71079737AF32}" destId="{D3F1197B-74EF-4F3A-A314-71E92066F6C0}" srcOrd="0" destOrd="0" presId="urn:microsoft.com/office/officeart/2005/8/layout/hierarchy2"/>
    <dgm:cxn modelId="{03A78D48-F90D-487A-8F62-C319AB56D4FF}" type="presParOf" srcId="{1213E173-87F3-41D4-A6B9-71079737AF32}" destId="{4B1EE8A3-00AA-40D1-9FBC-BF107251DE82}" srcOrd="1" destOrd="0" presId="urn:microsoft.com/office/officeart/2005/8/layout/hierarchy2"/>
    <dgm:cxn modelId="{E466F067-845F-4928-9A4E-EB473200B89F}" type="presParOf" srcId="{79B7AEED-9B9D-4468-94BD-FAE3E3E53C76}" destId="{39FCC58C-DCCC-48D5-AA68-FD2607A942E2}" srcOrd="4" destOrd="0" presId="urn:microsoft.com/office/officeart/2005/8/layout/hierarchy2"/>
    <dgm:cxn modelId="{FCD193CE-D9DE-4ABE-8F71-63A15577B5FC}" type="presParOf" srcId="{39FCC58C-DCCC-48D5-AA68-FD2607A942E2}" destId="{D1681F1E-9464-4B91-98D8-08FEFF92E41B}" srcOrd="0" destOrd="0" presId="urn:microsoft.com/office/officeart/2005/8/layout/hierarchy2"/>
    <dgm:cxn modelId="{954468E2-FDB3-4271-A14E-B79D48F36244}" type="presParOf" srcId="{79B7AEED-9B9D-4468-94BD-FAE3E3E53C76}" destId="{3283ADEA-4D21-4611-B4CA-248DCD9BD61D}" srcOrd="5" destOrd="0" presId="urn:microsoft.com/office/officeart/2005/8/layout/hierarchy2"/>
    <dgm:cxn modelId="{F750AC85-45F1-4C65-9266-61A69EAC9A10}" type="presParOf" srcId="{3283ADEA-4D21-4611-B4CA-248DCD9BD61D}" destId="{3262AACF-64BB-470C-9B39-B6C6BD30F384}" srcOrd="0" destOrd="0" presId="urn:microsoft.com/office/officeart/2005/8/layout/hierarchy2"/>
    <dgm:cxn modelId="{9FE02A6F-9966-402B-8550-0FDDC9A7CA18}" type="presParOf" srcId="{3283ADEA-4D21-4611-B4CA-248DCD9BD61D}" destId="{EF55F724-7B76-451D-96FF-50E7017C4A13}" srcOrd="1" destOrd="0" presId="urn:microsoft.com/office/officeart/2005/8/layout/hierarchy2"/>
    <dgm:cxn modelId="{309A75CA-E396-462F-BFC6-7D48765E0E5C}" type="presParOf" srcId="{AEB81828-7DAB-4D2A-BA4D-89A94A1B7548}" destId="{2616D7E6-42C7-4E99-BD57-F4D5424F1A3E}" srcOrd="4" destOrd="0" presId="urn:microsoft.com/office/officeart/2005/8/layout/hierarchy2"/>
    <dgm:cxn modelId="{009971F9-76A1-4313-AFCD-58F2A1924060}" type="presParOf" srcId="{2616D7E6-42C7-4E99-BD57-F4D5424F1A3E}" destId="{F3C9FA35-C511-49FE-BED5-E8E1D311C210}" srcOrd="0" destOrd="0" presId="urn:microsoft.com/office/officeart/2005/8/layout/hierarchy2"/>
    <dgm:cxn modelId="{B80F58AC-FBAF-4AE1-9A1B-0836FA871673}" type="presParOf" srcId="{AEB81828-7DAB-4D2A-BA4D-89A94A1B7548}" destId="{4264C64D-3677-487A-B38E-5BF4E52AEA24}" srcOrd="5" destOrd="0" presId="urn:microsoft.com/office/officeart/2005/8/layout/hierarchy2"/>
    <dgm:cxn modelId="{EAB3B573-EE79-48F5-8279-DC873A7295B7}" type="presParOf" srcId="{4264C64D-3677-487A-B38E-5BF4E52AEA24}" destId="{46447F3E-3233-425B-A818-3367662934EE}" srcOrd="0" destOrd="0" presId="urn:microsoft.com/office/officeart/2005/8/layout/hierarchy2"/>
    <dgm:cxn modelId="{08C4C650-CDFC-483C-9041-E2903C690DC7}" type="presParOf" srcId="{4264C64D-3677-487A-B38E-5BF4E52AEA24}" destId="{4536B61F-099C-42CF-BCDF-8A68A85046B2}" srcOrd="1" destOrd="0" presId="urn:microsoft.com/office/officeart/2005/8/layout/hierarchy2"/>
    <dgm:cxn modelId="{10750EE2-9569-4F2F-A7E2-328C36FB65C9}" type="presParOf" srcId="{AEB81828-7DAB-4D2A-BA4D-89A94A1B7548}" destId="{294B74C8-EE3A-4232-A0CB-8FA598D29A21}" srcOrd="6" destOrd="0" presId="urn:microsoft.com/office/officeart/2005/8/layout/hierarchy2"/>
    <dgm:cxn modelId="{1D1E8EE7-8AD0-49FB-991C-51775EC0DC51}" type="presParOf" srcId="{294B74C8-EE3A-4232-A0CB-8FA598D29A21}" destId="{1BDDDB9F-308B-4B4D-8B91-EC2E66639892}" srcOrd="0" destOrd="0" presId="urn:microsoft.com/office/officeart/2005/8/layout/hierarchy2"/>
    <dgm:cxn modelId="{54F3279B-3185-4503-9C53-F9A1F2DDBD65}" type="presParOf" srcId="{AEB81828-7DAB-4D2A-BA4D-89A94A1B7548}" destId="{5F4FDAC8-D265-4D69-B264-DDD092B9D44E}" srcOrd="7" destOrd="0" presId="urn:microsoft.com/office/officeart/2005/8/layout/hierarchy2"/>
    <dgm:cxn modelId="{81B67AAF-4380-473B-9AA8-E0DAB6730210}" type="presParOf" srcId="{5F4FDAC8-D265-4D69-B264-DDD092B9D44E}" destId="{02B6C4CF-266F-4408-AB26-EEE5C47F3501}" srcOrd="0" destOrd="0" presId="urn:microsoft.com/office/officeart/2005/8/layout/hierarchy2"/>
    <dgm:cxn modelId="{72220051-D9B5-4AE7-82A9-F5DDEC8A22A9}" type="presParOf" srcId="{5F4FDAC8-D265-4D69-B264-DDD092B9D44E}" destId="{622758FE-0F42-4874-8821-DE2F9315977C}" srcOrd="1" destOrd="0" presId="urn:microsoft.com/office/officeart/2005/8/layout/hierarchy2"/>
    <dgm:cxn modelId="{1CDF9959-61A9-4415-8F8F-D3B26461F82F}" type="presParOf" srcId="{AEB81828-7DAB-4D2A-BA4D-89A94A1B7548}" destId="{E7DE7444-F299-4B3A-9619-A52D8712EF6D}" srcOrd="8" destOrd="0" presId="urn:microsoft.com/office/officeart/2005/8/layout/hierarchy2"/>
    <dgm:cxn modelId="{BFC63442-4DAA-4BF6-AE18-F790CD20DA71}" type="presParOf" srcId="{E7DE7444-F299-4B3A-9619-A52D8712EF6D}" destId="{72B98D90-5C2D-417E-9AE8-D359C74B54B4}" srcOrd="0" destOrd="0" presId="urn:microsoft.com/office/officeart/2005/8/layout/hierarchy2"/>
    <dgm:cxn modelId="{04DACDD6-ED83-437F-8A7F-B6BBF2ED3AA4}" type="presParOf" srcId="{AEB81828-7DAB-4D2A-BA4D-89A94A1B7548}" destId="{F6406A2F-C087-4C7E-9C26-AF339D471472}" srcOrd="9" destOrd="0" presId="urn:microsoft.com/office/officeart/2005/8/layout/hierarchy2"/>
    <dgm:cxn modelId="{F44C9A65-0D02-41FB-A4D5-F624A104C1DA}" type="presParOf" srcId="{F6406A2F-C087-4C7E-9C26-AF339D471472}" destId="{90BDDE92-FBD3-466F-A447-C811294C32B4}" srcOrd="0" destOrd="0" presId="urn:microsoft.com/office/officeart/2005/8/layout/hierarchy2"/>
    <dgm:cxn modelId="{C1865CF5-438D-4947-8D18-A582E7D91DD9}" type="presParOf" srcId="{F6406A2F-C087-4C7E-9C26-AF339D471472}" destId="{67EBA1AC-1F54-4541-B411-64A2DE4FD392}" srcOrd="1" destOrd="0" presId="urn:microsoft.com/office/officeart/2005/8/layout/hierarchy2"/>
    <dgm:cxn modelId="{3615DD25-DE51-468D-BD72-9F7665BDD915}" type="presParOf" srcId="{AEB81828-7DAB-4D2A-BA4D-89A94A1B7548}" destId="{DF129888-47F6-4D6C-AC05-0AE79C32F1CB}" srcOrd="10" destOrd="0" presId="urn:microsoft.com/office/officeart/2005/8/layout/hierarchy2"/>
    <dgm:cxn modelId="{CEDFD8AD-7357-467D-BE22-52123E969B9A}" type="presParOf" srcId="{DF129888-47F6-4D6C-AC05-0AE79C32F1CB}" destId="{2766F2B1-F9C5-47EC-B258-19788D0EE287}" srcOrd="0" destOrd="0" presId="urn:microsoft.com/office/officeart/2005/8/layout/hierarchy2"/>
    <dgm:cxn modelId="{EEEB66AE-568D-445B-8AC5-53102F83247A}" type="presParOf" srcId="{AEB81828-7DAB-4D2A-BA4D-89A94A1B7548}" destId="{F7AB75BD-7E6D-41C7-87F3-8BFE75B43C85}" srcOrd="11" destOrd="0" presId="urn:microsoft.com/office/officeart/2005/8/layout/hierarchy2"/>
    <dgm:cxn modelId="{0BBDF456-303C-48D5-B279-CA7779EE2F26}" type="presParOf" srcId="{F7AB75BD-7E6D-41C7-87F3-8BFE75B43C85}" destId="{B0F6D03B-EC14-4CC7-B6C9-8FE8534B68E9}" srcOrd="0" destOrd="0" presId="urn:microsoft.com/office/officeart/2005/8/layout/hierarchy2"/>
    <dgm:cxn modelId="{F63A7D3B-62ED-4F4D-88C1-C44740C5EB9D}" type="presParOf" srcId="{F7AB75BD-7E6D-41C7-87F3-8BFE75B43C85}" destId="{CBB39273-D1CB-4AB6-BBDA-31283110799F}" srcOrd="1" destOrd="0" presId="urn:microsoft.com/office/officeart/2005/8/layout/hierarchy2"/>
    <dgm:cxn modelId="{BD0B1782-6622-4E2D-A8E9-ED588D58C4FD}" type="presParOf" srcId="{AEB81828-7DAB-4D2A-BA4D-89A94A1B7548}" destId="{65378CBD-30DD-427E-91D4-B4149BFEF89B}" srcOrd="12" destOrd="0" presId="urn:microsoft.com/office/officeart/2005/8/layout/hierarchy2"/>
    <dgm:cxn modelId="{271A6E54-7C35-4FCA-9707-85ACDA628185}" type="presParOf" srcId="{65378CBD-30DD-427E-91D4-B4149BFEF89B}" destId="{B5206D26-3B2D-4B63-B776-D7232DFFF6EF}" srcOrd="0" destOrd="0" presId="urn:microsoft.com/office/officeart/2005/8/layout/hierarchy2"/>
    <dgm:cxn modelId="{AD38C99B-8570-4B2C-881E-6981A219901D}" type="presParOf" srcId="{AEB81828-7DAB-4D2A-BA4D-89A94A1B7548}" destId="{A94880C4-E460-4A59-918D-A3B18B5014F2}" srcOrd="13" destOrd="0" presId="urn:microsoft.com/office/officeart/2005/8/layout/hierarchy2"/>
    <dgm:cxn modelId="{92178EE6-6BC2-4A7C-8F6A-AB165875C8DE}" type="presParOf" srcId="{A94880C4-E460-4A59-918D-A3B18B5014F2}" destId="{BF1806B7-2550-4FAC-B33B-1DAF3938992D}" srcOrd="0" destOrd="0" presId="urn:microsoft.com/office/officeart/2005/8/layout/hierarchy2"/>
    <dgm:cxn modelId="{502BF0E0-982A-4D72-B739-AF67870A9314}" type="presParOf" srcId="{A94880C4-E460-4A59-918D-A3B18B5014F2}" destId="{8BC620A0-92DB-4889-AAAE-D0D51673F5AE}" srcOrd="1" destOrd="0" presId="urn:microsoft.com/office/officeart/2005/8/layout/hierarchy2"/>
  </dgm:cxnLst>
  <dgm:bg/>
  <dgm:whole/>
  <dgm:extLst>
    <a:ext uri="http://schemas.microsoft.com/office/drawing/2008/diagram">
      <dsp:dataModelExt xmlns:dsp="http://schemas.microsoft.com/office/drawing/2008/diagram" relId="rId22" minVer="http://schemas.openxmlformats.org/drawingml/2006/diagram"/>
    </a:ext>
  </dgm:extLst>
</dgm:dataModel>
</file>

<file path=word/diagrams/data4.xml><?xml version="1.0" encoding="utf-8"?>
<dgm:dataModel xmlns:dgm="http://schemas.openxmlformats.org/drawingml/2006/diagram" xmlns:a="http://schemas.openxmlformats.org/drawingml/2006/main">
  <dgm:ptLst>
    <dgm:pt modelId="{44700821-6459-4A88-B319-0017676353BD}" type="doc">
      <dgm:prSet loTypeId="urn:microsoft.com/office/officeart/2005/8/layout/hChevron3" loCatId="process" qsTypeId="urn:microsoft.com/office/officeart/2005/8/quickstyle/simple1" qsCatId="simple" csTypeId="urn:microsoft.com/office/officeart/2005/8/colors/accent0_1" csCatId="mainScheme" phldr="1"/>
      <dgm:spPr/>
    </dgm:pt>
    <dgm:pt modelId="{1BA019B5-DA0B-46E9-8759-71478BD58552}">
      <dgm:prSet phldrT="[Текст]" custT="1"/>
      <dgm:spPr>
        <a:xfrm>
          <a:off x="3539" y="192552"/>
          <a:ext cx="2319614" cy="867115"/>
        </a:xfrm>
        <a:prstGeom prst="homePlat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Базисные условия поставки (базис цены)</a:t>
          </a:r>
        </a:p>
      </dgm:t>
    </dgm:pt>
    <dgm:pt modelId="{796870E7-CA83-4193-ADE4-9B0F4BBE2130}" type="parTrans" cxnId="{54E2438A-DA5B-4D9F-A052-86B185C02994}">
      <dgm:prSet/>
      <dgm:spPr/>
      <dgm:t>
        <a:bodyPr/>
        <a:lstStyle/>
        <a:p>
          <a:endParaRPr lang="ru-RU" sz="2400"/>
        </a:p>
      </dgm:t>
    </dgm:pt>
    <dgm:pt modelId="{289EB66B-A517-4848-8E9B-C1F38E36C665}" type="sibTrans" cxnId="{54E2438A-DA5B-4D9F-A052-86B185C02994}">
      <dgm:prSet/>
      <dgm:spPr/>
      <dgm:t>
        <a:bodyPr/>
        <a:lstStyle/>
        <a:p>
          <a:endParaRPr lang="ru-RU" sz="2400"/>
        </a:p>
      </dgm:t>
    </dgm:pt>
    <dgm:pt modelId="{BA7A5805-4488-4180-B521-4B5368B2BF63}">
      <dgm:prSet phldrT="[Текст]" custT="1"/>
      <dgm:spPr>
        <a:xfrm>
          <a:off x="1969985" y="184136"/>
          <a:ext cx="1775540" cy="883947"/>
        </a:xfrm>
        <a:prstGeom prst="chevron">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Цена сделки, фактически уплаченная или подлежащая уплате </a:t>
          </a:r>
        </a:p>
      </dgm:t>
    </dgm:pt>
    <dgm:pt modelId="{47E7772E-1B49-44BB-92B9-719FEA33CA03}" type="parTrans" cxnId="{0B2CF60B-DB8A-4A37-A128-F94C662C5164}">
      <dgm:prSet/>
      <dgm:spPr/>
      <dgm:t>
        <a:bodyPr/>
        <a:lstStyle/>
        <a:p>
          <a:endParaRPr lang="ru-RU" sz="2400"/>
        </a:p>
      </dgm:t>
    </dgm:pt>
    <dgm:pt modelId="{1B1CE0BE-91B6-4EBB-9375-BD3D51546337}" type="sibTrans" cxnId="{0B2CF60B-DB8A-4A37-A128-F94C662C5164}">
      <dgm:prSet/>
      <dgm:spPr/>
      <dgm:t>
        <a:bodyPr/>
        <a:lstStyle/>
        <a:p>
          <a:endParaRPr lang="ru-RU" sz="2400"/>
        </a:p>
      </dgm:t>
    </dgm:pt>
    <dgm:pt modelId="{2C7BC2F0-5D2B-4E1E-B4C8-7FBCA662E95C}">
      <dgm:prSet phldrT="[Текст]" custT="1"/>
      <dgm:spPr>
        <a:xfrm>
          <a:off x="3392356" y="184136"/>
          <a:ext cx="1592227" cy="883947"/>
        </a:xfrm>
        <a:prstGeom prst="chevron">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Стоимость сделки</a:t>
          </a:r>
        </a:p>
      </dgm:t>
    </dgm:pt>
    <dgm:pt modelId="{54C12C0A-BFF2-4498-9386-265E7094F2E8}" type="parTrans" cxnId="{D4779ECF-A22F-4841-A14B-7907982C62DA}">
      <dgm:prSet/>
      <dgm:spPr/>
      <dgm:t>
        <a:bodyPr/>
        <a:lstStyle/>
        <a:p>
          <a:endParaRPr lang="ru-RU" sz="2400"/>
        </a:p>
      </dgm:t>
    </dgm:pt>
    <dgm:pt modelId="{6BF795B0-D1CD-460E-BD62-D7DC0B518E95}" type="sibTrans" cxnId="{D4779ECF-A22F-4841-A14B-7907982C62DA}">
      <dgm:prSet/>
      <dgm:spPr/>
      <dgm:t>
        <a:bodyPr/>
        <a:lstStyle/>
        <a:p>
          <a:endParaRPr lang="ru-RU" sz="2400"/>
        </a:p>
      </dgm:t>
    </dgm:pt>
    <dgm:pt modelId="{2DBB07D1-FF1D-46E4-B34B-F65F182774FB}">
      <dgm:prSet phldrT="[Текст]" custT="1"/>
      <dgm:spPr>
        <a:xfrm>
          <a:off x="4631414" y="184136"/>
          <a:ext cx="1765845" cy="883947"/>
        </a:xfrm>
        <a:prstGeom prst="chevron">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Таможенная стоимость</a:t>
          </a:r>
        </a:p>
      </dgm:t>
    </dgm:pt>
    <dgm:pt modelId="{E9583907-5343-4F50-9F50-E2610C7AB20E}" type="parTrans" cxnId="{D45E84E2-7C3F-4B9C-A212-844B14C132FA}">
      <dgm:prSet/>
      <dgm:spPr/>
      <dgm:t>
        <a:bodyPr/>
        <a:lstStyle/>
        <a:p>
          <a:endParaRPr lang="ru-RU" sz="2400"/>
        </a:p>
      </dgm:t>
    </dgm:pt>
    <dgm:pt modelId="{61A370F6-56B4-4A7B-A34E-9AF2D91CD805}" type="sibTrans" cxnId="{D45E84E2-7C3F-4B9C-A212-844B14C132FA}">
      <dgm:prSet/>
      <dgm:spPr/>
      <dgm:t>
        <a:bodyPr/>
        <a:lstStyle/>
        <a:p>
          <a:endParaRPr lang="ru-RU" sz="2400"/>
        </a:p>
      </dgm:t>
    </dgm:pt>
    <dgm:pt modelId="{0A904BAE-94E6-49EE-B756-F7BD7FF6832B}" type="pres">
      <dgm:prSet presAssocID="{44700821-6459-4A88-B319-0017676353BD}" presName="Name0" presStyleCnt="0">
        <dgm:presLayoutVars>
          <dgm:dir/>
          <dgm:resizeHandles val="exact"/>
        </dgm:presLayoutVars>
      </dgm:prSet>
      <dgm:spPr/>
    </dgm:pt>
    <dgm:pt modelId="{D9AFC737-FF95-4180-BEC1-15F3BFBFC8D7}" type="pres">
      <dgm:prSet presAssocID="{1BA019B5-DA0B-46E9-8759-71478BD58552}" presName="parTxOnly" presStyleLbl="node1" presStyleIdx="0" presStyleCnt="4" custScaleX="131360" custScaleY="122762">
        <dgm:presLayoutVars>
          <dgm:bulletEnabled val="1"/>
        </dgm:presLayoutVars>
      </dgm:prSet>
      <dgm:spPr/>
    </dgm:pt>
    <dgm:pt modelId="{35A76FE3-665E-42CF-9A34-373116D2F536}" type="pres">
      <dgm:prSet presAssocID="{289EB66B-A517-4848-8E9B-C1F38E36C665}" presName="parSpace" presStyleCnt="0"/>
      <dgm:spPr/>
    </dgm:pt>
    <dgm:pt modelId="{D1539CF8-341A-4B53-8D9D-3F4FED88EA79}" type="pres">
      <dgm:prSet presAssocID="{BA7A5805-4488-4180-B521-4B5368B2BF63}" presName="parTxOnly" presStyleLbl="node1" presStyleIdx="1" presStyleCnt="4" custScaleX="100549" custScaleY="125145">
        <dgm:presLayoutVars>
          <dgm:bulletEnabled val="1"/>
        </dgm:presLayoutVars>
      </dgm:prSet>
      <dgm:spPr/>
    </dgm:pt>
    <dgm:pt modelId="{E33AC6D3-BEBC-4A4C-A2C4-39BDB6B981F7}" type="pres">
      <dgm:prSet presAssocID="{1B1CE0BE-91B6-4EBB-9375-BD3D51546337}" presName="parSpace" presStyleCnt="0"/>
      <dgm:spPr/>
    </dgm:pt>
    <dgm:pt modelId="{CE7B6A6E-4082-4F4B-9F69-B971DA1A868F}" type="pres">
      <dgm:prSet presAssocID="{2C7BC2F0-5D2B-4E1E-B4C8-7FBCA662E95C}" presName="parTxOnly" presStyleLbl="node1" presStyleIdx="2" presStyleCnt="4" custScaleX="90168" custScaleY="125145">
        <dgm:presLayoutVars>
          <dgm:bulletEnabled val="1"/>
        </dgm:presLayoutVars>
      </dgm:prSet>
      <dgm:spPr/>
    </dgm:pt>
    <dgm:pt modelId="{79478FD5-A812-424D-9CA8-4AD265215628}" type="pres">
      <dgm:prSet presAssocID="{6BF795B0-D1CD-460E-BD62-D7DC0B518E95}" presName="parSpace" presStyleCnt="0"/>
      <dgm:spPr/>
    </dgm:pt>
    <dgm:pt modelId="{A59A310A-811D-4188-9EB0-8167ECF07FDD}" type="pres">
      <dgm:prSet presAssocID="{2DBB07D1-FF1D-46E4-B34B-F65F182774FB}" presName="parTxOnly" presStyleLbl="node1" presStyleIdx="3" presStyleCnt="4" custScaleY="125145">
        <dgm:presLayoutVars>
          <dgm:bulletEnabled val="1"/>
        </dgm:presLayoutVars>
      </dgm:prSet>
      <dgm:spPr/>
    </dgm:pt>
  </dgm:ptLst>
  <dgm:cxnLst>
    <dgm:cxn modelId="{0B2CF60B-DB8A-4A37-A128-F94C662C5164}" srcId="{44700821-6459-4A88-B319-0017676353BD}" destId="{BA7A5805-4488-4180-B521-4B5368B2BF63}" srcOrd="1" destOrd="0" parTransId="{47E7772E-1B49-44BB-92B9-719FEA33CA03}" sibTransId="{1B1CE0BE-91B6-4EBB-9375-BD3D51546337}"/>
    <dgm:cxn modelId="{16BCB110-C745-49C6-881F-D45101703474}" type="presOf" srcId="{44700821-6459-4A88-B319-0017676353BD}" destId="{0A904BAE-94E6-49EE-B756-F7BD7FF6832B}" srcOrd="0" destOrd="0" presId="urn:microsoft.com/office/officeart/2005/8/layout/hChevron3"/>
    <dgm:cxn modelId="{58AEE248-1D28-4BB4-B0A8-4D02D52754A4}" type="presOf" srcId="{2DBB07D1-FF1D-46E4-B34B-F65F182774FB}" destId="{A59A310A-811D-4188-9EB0-8167ECF07FDD}" srcOrd="0" destOrd="0" presId="urn:microsoft.com/office/officeart/2005/8/layout/hChevron3"/>
    <dgm:cxn modelId="{BE90E64E-D1D7-4D1F-873F-722BDAF223D3}" type="presOf" srcId="{2C7BC2F0-5D2B-4E1E-B4C8-7FBCA662E95C}" destId="{CE7B6A6E-4082-4F4B-9F69-B971DA1A868F}" srcOrd="0" destOrd="0" presId="urn:microsoft.com/office/officeart/2005/8/layout/hChevron3"/>
    <dgm:cxn modelId="{77861754-08CF-4F2E-9FF4-8C2B71E4C647}" type="presOf" srcId="{BA7A5805-4488-4180-B521-4B5368B2BF63}" destId="{D1539CF8-341A-4B53-8D9D-3F4FED88EA79}" srcOrd="0" destOrd="0" presId="urn:microsoft.com/office/officeart/2005/8/layout/hChevron3"/>
    <dgm:cxn modelId="{54E2438A-DA5B-4D9F-A052-86B185C02994}" srcId="{44700821-6459-4A88-B319-0017676353BD}" destId="{1BA019B5-DA0B-46E9-8759-71478BD58552}" srcOrd="0" destOrd="0" parTransId="{796870E7-CA83-4193-ADE4-9B0F4BBE2130}" sibTransId="{289EB66B-A517-4848-8E9B-C1F38E36C665}"/>
    <dgm:cxn modelId="{D4779ECF-A22F-4841-A14B-7907982C62DA}" srcId="{44700821-6459-4A88-B319-0017676353BD}" destId="{2C7BC2F0-5D2B-4E1E-B4C8-7FBCA662E95C}" srcOrd="2" destOrd="0" parTransId="{54C12C0A-BFF2-4498-9386-265E7094F2E8}" sibTransId="{6BF795B0-D1CD-460E-BD62-D7DC0B518E95}"/>
    <dgm:cxn modelId="{D45E84E2-7C3F-4B9C-A212-844B14C132FA}" srcId="{44700821-6459-4A88-B319-0017676353BD}" destId="{2DBB07D1-FF1D-46E4-B34B-F65F182774FB}" srcOrd="3" destOrd="0" parTransId="{E9583907-5343-4F50-9F50-E2610C7AB20E}" sibTransId="{61A370F6-56B4-4A7B-A34E-9AF2D91CD805}"/>
    <dgm:cxn modelId="{3201E5FD-8926-4B60-9DB1-8A21E488DE95}" type="presOf" srcId="{1BA019B5-DA0B-46E9-8759-71478BD58552}" destId="{D9AFC737-FF95-4180-BEC1-15F3BFBFC8D7}" srcOrd="0" destOrd="0" presId="urn:microsoft.com/office/officeart/2005/8/layout/hChevron3"/>
    <dgm:cxn modelId="{AA69C77A-AA8D-4D7E-9E7C-925AE48E9D43}" type="presParOf" srcId="{0A904BAE-94E6-49EE-B756-F7BD7FF6832B}" destId="{D9AFC737-FF95-4180-BEC1-15F3BFBFC8D7}" srcOrd="0" destOrd="0" presId="urn:microsoft.com/office/officeart/2005/8/layout/hChevron3"/>
    <dgm:cxn modelId="{CFB8F063-242C-4AAA-9AB3-9986EB3672BA}" type="presParOf" srcId="{0A904BAE-94E6-49EE-B756-F7BD7FF6832B}" destId="{35A76FE3-665E-42CF-9A34-373116D2F536}" srcOrd="1" destOrd="0" presId="urn:microsoft.com/office/officeart/2005/8/layout/hChevron3"/>
    <dgm:cxn modelId="{FC9B4CAE-324C-412F-8859-0BE489BC3568}" type="presParOf" srcId="{0A904BAE-94E6-49EE-B756-F7BD7FF6832B}" destId="{D1539CF8-341A-4B53-8D9D-3F4FED88EA79}" srcOrd="2" destOrd="0" presId="urn:microsoft.com/office/officeart/2005/8/layout/hChevron3"/>
    <dgm:cxn modelId="{C1A465AD-FD39-4161-9939-F2E8E638BFF1}" type="presParOf" srcId="{0A904BAE-94E6-49EE-B756-F7BD7FF6832B}" destId="{E33AC6D3-BEBC-4A4C-A2C4-39BDB6B981F7}" srcOrd="3" destOrd="0" presId="urn:microsoft.com/office/officeart/2005/8/layout/hChevron3"/>
    <dgm:cxn modelId="{BFF003D3-2384-469E-A2EA-67E3EF3234D6}" type="presParOf" srcId="{0A904BAE-94E6-49EE-B756-F7BD7FF6832B}" destId="{CE7B6A6E-4082-4F4B-9F69-B971DA1A868F}" srcOrd="4" destOrd="0" presId="urn:microsoft.com/office/officeart/2005/8/layout/hChevron3"/>
    <dgm:cxn modelId="{1BA2739B-20A1-4FF7-8404-2972604BBDDA}" type="presParOf" srcId="{0A904BAE-94E6-49EE-B756-F7BD7FF6832B}" destId="{79478FD5-A812-424D-9CA8-4AD265215628}" srcOrd="5" destOrd="0" presId="urn:microsoft.com/office/officeart/2005/8/layout/hChevron3"/>
    <dgm:cxn modelId="{569AC46E-910A-4EA1-AC8E-7140754B3B9C}" type="presParOf" srcId="{0A904BAE-94E6-49EE-B756-F7BD7FF6832B}" destId="{A59A310A-811D-4188-9EB0-8167ECF07FDD}" srcOrd="6" destOrd="0" presId="urn:microsoft.com/office/officeart/2005/8/layout/hChevron3"/>
  </dgm:cxnLst>
  <dgm:bg/>
  <dgm:whole/>
  <dgm:extLst>
    <a:ext uri="http://schemas.microsoft.com/office/drawing/2008/diagram">
      <dsp:dataModelExt xmlns:dsp="http://schemas.microsoft.com/office/drawing/2008/diagram" relId="rId27" minVer="http://schemas.openxmlformats.org/drawingml/2006/diagram"/>
    </a:ext>
  </dgm:extLst>
</dgm:dataModel>
</file>

<file path=word/diagrams/data5.xml><?xml version="1.0" encoding="utf-8"?>
<dgm:dataModel xmlns:dgm="http://schemas.openxmlformats.org/drawingml/2006/diagram" xmlns:a="http://schemas.openxmlformats.org/drawingml/2006/main">
  <dgm:ptLst>
    <dgm:pt modelId="{84144FE4-439E-45BB-8F00-B9286B31F0D1}" type="doc">
      <dgm:prSet loTypeId="urn:microsoft.com/office/officeart/2005/8/layout/process1" loCatId="process" qsTypeId="urn:microsoft.com/office/officeart/2005/8/quickstyle/simple1" qsCatId="simple" csTypeId="urn:microsoft.com/office/officeart/2005/8/colors/accent0_1" csCatId="mainScheme" phldr="1"/>
      <dgm:spPr/>
      <dgm:t>
        <a:bodyPr/>
        <a:lstStyle/>
        <a:p>
          <a:endParaRPr lang="ru-RU"/>
        </a:p>
      </dgm:t>
    </dgm:pt>
    <dgm:pt modelId="{4ED89589-8671-44DA-A16C-FD99E05E360B}">
      <dgm:prSet phldrT="[Текст]" custT="1"/>
      <dgm:spPr>
        <a:xfrm>
          <a:off x="5465" y="449418"/>
          <a:ext cx="1131292" cy="2766447"/>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Стоимость сделки с идентичными товарами, проданными на том же коммерческом уровне и по существу в том же количестве, что и ввозимые/вывозимые товары</a:t>
          </a:r>
        </a:p>
      </dgm:t>
    </dgm:pt>
    <dgm:pt modelId="{770D23DA-DED6-4A30-81E1-F3ACEFF7F3D7}" type="parTrans" cxnId="{FF618297-52EE-4624-8CEA-5ED2A0301D19}">
      <dgm:prSet/>
      <dgm:spPr/>
      <dgm:t>
        <a:bodyPr/>
        <a:lstStyle/>
        <a:p>
          <a:endParaRPr lang="ru-RU" sz="3600"/>
        </a:p>
      </dgm:t>
    </dgm:pt>
    <dgm:pt modelId="{AAE53495-4B63-47D4-AC68-C80DE27F18EF}" type="sibTrans" cxnId="{FF618297-52EE-4624-8CEA-5ED2A0301D19}">
      <dgm:prSet/>
      <dgm:spPr>
        <a:xfrm>
          <a:off x="1249887" y="1692361"/>
          <a:ext cx="239834" cy="280560"/>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ru-RU" sz="3600">
            <a:solidFill>
              <a:sysClr val="windowText" lastClr="000000">
                <a:hueOff val="0"/>
                <a:satOff val="0"/>
                <a:lumOff val="0"/>
                <a:alphaOff val="0"/>
              </a:sysClr>
            </a:solidFill>
            <a:latin typeface="Calibri" panose="020F0502020204030204"/>
            <a:ea typeface="+mn-ea"/>
            <a:cs typeface="+mn-cs"/>
          </a:endParaRPr>
        </a:p>
      </dgm:t>
    </dgm:pt>
    <dgm:pt modelId="{E432E3BE-61FC-4B21-BE29-6C094401B646}">
      <dgm:prSet phldrT="[Текст]" custT="1"/>
      <dgm:spPr>
        <a:xfrm>
          <a:off x="1589275" y="449418"/>
          <a:ext cx="1131292" cy="2766447"/>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Стоимость сделки с идентичными товарами, проданными на том же коммерческом уровне, но в иных количествах</a:t>
          </a:r>
        </a:p>
      </dgm:t>
    </dgm:pt>
    <dgm:pt modelId="{176EE93D-055F-40A7-8CB8-A8F237B833DC}" type="parTrans" cxnId="{5F8FCD17-2B56-4412-B1F9-8429E5BDF698}">
      <dgm:prSet/>
      <dgm:spPr/>
      <dgm:t>
        <a:bodyPr/>
        <a:lstStyle/>
        <a:p>
          <a:endParaRPr lang="ru-RU" sz="3600"/>
        </a:p>
      </dgm:t>
    </dgm:pt>
    <dgm:pt modelId="{5D365BAB-B6E4-4C0C-A496-095924DFEB39}" type="sibTrans" cxnId="{5F8FCD17-2B56-4412-B1F9-8429E5BDF698}">
      <dgm:prSet/>
      <dgm:spPr>
        <a:xfrm>
          <a:off x="2833697" y="1692361"/>
          <a:ext cx="239834" cy="280560"/>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ru-RU" sz="3600">
            <a:solidFill>
              <a:sysClr val="windowText" lastClr="000000">
                <a:hueOff val="0"/>
                <a:satOff val="0"/>
                <a:lumOff val="0"/>
                <a:alphaOff val="0"/>
              </a:sysClr>
            </a:solidFill>
            <a:latin typeface="Calibri" panose="020F0502020204030204"/>
            <a:ea typeface="+mn-ea"/>
            <a:cs typeface="+mn-cs"/>
          </a:endParaRPr>
        </a:p>
      </dgm:t>
    </dgm:pt>
    <dgm:pt modelId="{51F7E157-A4DF-449B-A8DC-A539390DC9F2}">
      <dgm:prSet phldrT="[Текст]" custT="1"/>
      <dgm:spPr>
        <a:xfrm>
          <a:off x="3173085" y="449418"/>
          <a:ext cx="1131292" cy="2766447"/>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Стоимость сделки с идентичными товарами, проданными на ином коммерческом уровне, но, по существу, в тех же количествах</a:t>
          </a:r>
        </a:p>
      </dgm:t>
    </dgm:pt>
    <dgm:pt modelId="{1159B714-E709-422B-BA08-EAAC563E0B31}" type="parTrans" cxnId="{A2FA55D3-168E-4A1F-9331-00D5E642D0D6}">
      <dgm:prSet/>
      <dgm:spPr/>
      <dgm:t>
        <a:bodyPr/>
        <a:lstStyle/>
        <a:p>
          <a:endParaRPr lang="ru-RU" sz="3600"/>
        </a:p>
      </dgm:t>
    </dgm:pt>
    <dgm:pt modelId="{67888FF5-DA97-498C-BF75-24502E0E1054}" type="sibTrans" cxnId="{A2FA55D3-168E-4A1F-9331-00D5E642D0D6}">
      <dgm:prSet/>
      <dgm:spPr>
        <a:xfrm>
          <a:off x="4417507" y="1692361"/>
          <a:ext cx="239834" cy="280560"/>
        </a:xfrm>
        <a:prstGeom prst="rightArrow">
          <a:avLst>
            <a:gd name="adj1" fmla="val 60000"/>
            <a:gd name="adj2" fmla="val 50000"/>
          </a:avLst>
        </a:prstGeom>
        <a:solidFill>
          <a:sysClr val="windowText" lastClr="000000">
            <a:tint val="60000"/>
            <a:hueOff val="0"/>
            <a:satOff val="0"/>
            <a:lumOff val="0"/>
            <a:alphaOff val="0"/>
          </a:sysClr>
        </a:solidFill>
        <a:ln>
          <a:noFill/>
        </a:ln>
        <a:effectLst/>
      </dgm:spPr>
      <dgm:t>
        <a:bodyPr/>
        <a:lstStyle/>
        <a:p>
          <a:pPr>
            <a:buNone/>
          </a:pPr>
          <a:endParaRPr lang="ru-RU" sz="3600">
            <a:solidFill>
              <a:sysClr val="windowText" lastClr="000000">
                <a:hueOff val="0"/>
                <a:satOff val="0"/>
                <a:lumOff val="0"/>
                <a:alphaOff val="0"/>
              </a:sysClr>
            </a:solidFill>
            <a:latin typeface="Calibri" panose="020F0502020204030204"/>
            <a:ea typeface="+mn-ea"/>
            <a:cs typeface="+mn-cs"/>
          </a:endParaRPr>
        </a:p>
      </dgm:t>
    </dgm:pt>
    <dgm:pt modelId="{FD9CBF20-E7EE-463D-BCAB-2E7303E20884}">
      <dgm:prSet phldrT="[Текст]" custT="1"/>
      <dgm:spPr>
        <a:xfrm>
          <a:off x="4756895" y="449418"/>
          <a:ext cx="1131292" cy="2766447"/>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gm:spPr>
      <dgm:t>
        <a:bodyPr/>
        <a:lstStyle/>
        <a:p>
          <a:pPr>
            <a:buNone/>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Стоимость сделки с идентичными товарами, проданными на ином коммерческом уровне и в иных количествах, с соответствующей поправкой, учитывающей различия в коммерческом уровне продажи и (или) в количестве товаров</a:t>
          </a:r>
        </a:p>
      </dgm:t>
    </dgm:pt>
    <dgm:pt modelId="{149F2C48-148F-4A1A-B104-AF6BC8A67100}" type="parTrans" cxnId="{E90E6774-6720-4D7D-826D-B3F06747C8D3}">
      <dgm:prSet/>
      <dgm:spPr/>
      <dgm:t>
        <a:bodyPr/>
        <a:lstStyle/>
        <a:p>
          <a:endParaRPr lang="ru-RU" sz="3600"/>
        </a:p>
      </dgm:t>
    </dgm:pt>
    <dgm:pt modelId="{4018BAF5-365A-4200-9DF4-3C7CF111C10E}" type="sibTrans" cxnId="{E90E6774-6720-4D7D-826D-B3F06747C8D3}">
      <dgm:prSet/>
      <dgm:spPr/>
      <dgm:t>
        <a:bodyPr/>
        <a:lstStyle/>
        <a:p>
          <a:endParaRPr lang="ru-RU" sz="3600"/>
        </a:p>
      </dgm:t>
    </dgm:pt>
    <dgm:pt modelId="{507AA844-54C8-49E0-B337-7FA328FC6C93}" type="pres">
      <dgm:prSet presAssocID="{84144FE4-439E-45BB-8F00-B9286B31F0D1}" presName="Name0" presStyleCnt="0">
        <dgm:presLayoutVars>
          <dgm:dir/>
          <dgm:resizeHandles val="exact"/>
        </dgm:presLayoutVars>
      </dgm:prSet>
      <dgm:spPr/>
    </dgm:pt>
    <dgm:pt modelId="{1E3241B2-62AC-406D-AD49-0399E6D308FF}" type="pres">
      <dgm:prSet presAssocID="{4ED89589-8671-44DA-A16C-FD99E05E360B}" presName="node" presStyleLbl="node1" presStyleIdx="0" presStyleCnt="4">
        <dgm:presLayoutVars>
          <dgm:bulletEnabled val="1"/>
        </dgm:presLayoutVars>
      </dgm:prSet>
      <dgm:spPr/>
    </dgm:pt>
    <dgm:pt modelId="{202A991C-DEF5-4C42-AD06-B39C500C6C0C}" type="pres">
      <dgm:prSet presAssocID="{AAE53495-4B63-47D4-AC68-C80DE27F18EF}" presName="sibTrans" presStyleLbl="sibTrans2D1" presStyleIdx="0" presStyleCnt="3"/>
      <dgm:spPr/>
    </dgm:pt>
    <dgm:pt modelId="{19359C0C-31E4-4829-AEF3-F70BBEE1111E}" type="pres">
      <dgm:prSet presAssocID="{AAE53495-4B63-47D4-AC68-C80DE27F18EF}" presName="connectorText" presStyleLbl="sibTrans2D1" presStyleIdx="0" presStyleCnt="3"/>
      <dgm:spPr/>
    </dgm:pt>
    <dgm:pt modelId="{59F6D4DF-16C1-4EF6-8D6A-B121A1BD1A73}" type="pres">
      <dgm:prSet presAssocID="{E432E3BE-61FC-4B21-BE29-6C094401B646}" presName="node" presStyleLbl="node1" presStyleIdx="1" presStyleCnt="4">
        <dgm:presLayoutVars>
          <dgm:bulletEnabled val="1"/>
        </dgm:presLayoutVars>
      </dgm:prSet>
      <dgm:spPr/>
    </dgm:pt>
    <dgm:pt modelId="{E3E46197-C275-4F82-9558-FFC37C4D4C1D}" type="pres">
      <dgm:prSet presAssocID="{5D365BAB-B6E4-4C0C-A496-095924DFEB39}" presName="sibTrans" presStyleLbl="sibTrans2D1" presStyleIdx="1" presStyleCnt="3"/>
      <dgm:spPr/>
    </dgm:pt>
    <dgm:pt modelId="{6B4E37D7-B8AF-4BFE-84CA-7C2B747D2CAC}" type="pres">
      <dgm:prSet presAssocID="{5D365BAB-B6E4-4C0C-A496-095924DFEB39}" presName="connectorText" presStyleLbl="sibTrans2D1" presStyleIdx="1" presStyleCnt="3"/>
      <dgm:spPr/>
    </dgm:pt>
    <dgm:pt modelId="{469D73D0-50BE-481C-9D11-DE35B7604B71}" type="pres">
      <dgm:prSet presAssocID="{51F7E157-A4DF-449B-A8DC-A539390DC9F2}" presName="node" presStyleLbl="node1" presStyleIdx="2" presStyleCnt="4">
        <dgm:presLayoutVars>
          <dgm:bulletEnabled val="1"/>
        </dgm:presLayoutVars>
      </dgm:prSet>
      <dgm:spPr/>
    </dgm:pt>
    <dgm:pt modelId="{2309A02B-B6A0-4DFB-86BC-01B68BA6BC9D}" type="pres">
      <dgm:prSet presAssocID="{67888FF5-DA97-498C-BF75-24502E0E1054}" presName="sibTrans" presStyleLbl="sibTrans2D1" presStyleIdx="2" presStyleCnt="3"/>
      <dgm:spPr/>
    </dgm:pt>
    <dgm:pt modelId="{13A21B8F-43C6-4954-92E2-316714447180}" type="pres">
      <dgm:prSet presAssocID="{67888FF5-DA97-498C-BF75-24502E0E1054}" presName="connectorText" presStyleLbl="sibTrans2D1" presStyleIdx="2" presStyleCnt="3"/>
      <dgm:spPr/>
    </dgm:pt>
    <dgm:pt modelId="{695EC5EB-5528-41E8-BDD2-F1F7F832A6F8}" type="pres">
      <dgm:prSet presAssocID="{FD9CBF20-E7EE-463D-BCAB-2E7303E20884}" presName="node" presStyleLbl="node1" presStyleIdx="3" presStyleCnt="4">
        <dgm:presLayoutVars>
          <dgm:bulletEnabled val="1"/>
        </dgm:presLayoutVars>
      </dgm:prSet>
      <dgm:spPr/>
    </dgm:pt>
  </dgm:ptLst>
  <dgm:cxnLst>
    <dgm:cxn modelId="{236DE010-746E-47DA-8A88-03E7CC66BA67}" type="presOf" srcId="{E432E3BE-61FC-4B21-BE29-6C094401B646}" destId="{59F6D4DF-16C1-4EF6-8D6A-B121A1BD1A73}" srcOrd="0" destOrd="0" presId="urn:microsoft.com/office/officeart/2005/8/layout/process1"/>
    <dgm:cxn modelId="{5F8FCD17-2B56-4412-B1F9-8429E5BDF698}" srcId="{84144FE4-439E-45BB-8F00-B9286B31F0D1}" destId="{E432E3BE-61FC-4B21-BE29-6C094401B646}" srcOrd="1" destOrd="0" parTransId="{176EE93D-055F-40A7-8CB8-A8F237B833DC}" sibTransId="{5D365BAB-B6E4-4C0C-A496-095924DFEB39}"/>
    <dgm:cxn modelId="{4689F45C-B200-43F3-93FB-6D8687A3710C}" type="presOf" srcId="{67888FF5-DA97-498C-BF75-24502E0E1054}" destId="{13A21B8F-43C6-4954-92E2-316714447180}" srcOrd="1" destOrd="0" presId="urn:microsoft.com/office/officeart/2005/8/layout/process1"/>
    <dgm:cxn modelId="{0FC54A71-908D-47EC-AC43-D322036E0BEE}" type="presOf" srcId="{AAE53495-4B63-47D4-AC68-C80DE27F18EF}" destId="{19359C0C-31E4-4829-AEF3-F70BBEE1111E}" srcOrd="1" destOrd="0" presId="urn:microsoft.com/office/officeart/2005/8/layout/process1"/>
    <dgm:cxn modelId="{E90E6774-6720-4D7D-826D-B3F06747C8D3}" srcId="{84144FE4-439E-45BB-8F00-B9286B31F0D1}" destId="{FD9CBF20-E7EE-463D-BCAB-2E7303E20884}" srcOrd="3" destOrd="0" parTransId="{149F2C48-148F-4A1A-B104-AF6BC8A67100}" sibTransId="{4018BAF5-365A-4200-9DF4-3C7CF111C10E}"/>
    <dgm:cxn modelId="{8B58647A-5795-4012-90D2-A941C2D3EA9D}" type="presOf" srcId="{5D365BAB-B6E4-4C0C-A496-095924DFEB39}" destId="{E3E46197-C275-4F82-9558-FFC37C4D4C1D}" srcOrd="0" destOrd="0" presId="urn:microsoft.com/office/officeart/2005/8/layout/process1"/>
    <dgm:cxn modelId="{3D692D7D-98EE-4333-BC35-ED576891B17F}" type="presOf" srcId="{4ED89589-8671-44DA-A16C-FD99E05E360B}" destId="{1E3241B2-62AC-406D-AD49-0399E6D308FF}" srcOrd="0" destOrd="0" presId="urn:microsoft.com/office/officeart/2005/8/layout/process1"/>
    <dgm:cxn modelId="{C9CEA68A-0664-4434-9E8A-023159A38EBA}" type="presOf" srcId="{5D365BAB-B6E4-4C0C-A496-095924DFEB39}" destId="{6B4E37D7-B8AF-4BFE-84CA-7C2B747D2CAC}" srcOrd="1" destOrd="0" presId="urn:microsoft.com/office/officeart/2005/8/layout/process1"/>
    <dgm:cxn modelId="{FF618297-52EE-4624-8CEA-5ED2A0301D19}" srcId="{84144FE4-439E-45BB-8F00-B9286B31F0D1}" destId="{4ED89589-8671-44DA-A16C-FD99E05E360B}" srcOrd="0" destOrd="0" parTransId="{770D23DA-DED6-4A30-81E1-F3ACEFF7F3D7}" sibTransId="{AAE53495-4B63-47D4-AC68-C80DE27F18EF}"/>
    <dgm:cxn modelId="{00EDFFB2-951D-42C8-B052-B2970D7AE8E3}" type="presOf" srcId="{AAE53495-4B63-47D4-AC68-C80DE27F18EF}" destId="{202A991C-DEF5-4C42-AD06-B39C500C6C0C}" srcOrd="0" destOrd="0" presId="urn:microsoft.com/office/officeart/2005/8/layout/process1"/>
    <dgm:cxn modelId="{FBA9ACB3-1C91-4925-A712-E1CE36155FE8}" type="presOf" srcId="{67888FF5-DA97-498C-BF75-24502E0E1054}" destId="{2309A02B-B6A0-4DFB-86BC-01B68BA6BC9D}" srcOrd="0" destOrd="0" presId="urn:microsoft.com/office/officeart/2005/8/layout/process1"/>
    <dgm:cxn modelId="{A2FA55D3-168E-4A1F-9331-00D5E642D0D6}" srcId="{84144FE4-439E-45BB-8F00-B9286B31F0D1}" destId="{51F7E157-A4DF-449B-A8DC-A539390DC9F2}" srcOrd="2" destOrd="0" parTransId="{1159B714-E709-422B-BA08-EAAC563E0B31}" sibTransId="{67888FF5-DA97-498C-BF75-24502E0E1054}"/>
    <dgm:cxn modelId="{CE1DF1E8-749E-4986-8688-0FF50A895C1A}" type="presOf" srcId="{FD9CBF20-E7EE-463D-BCAB-2E7303E20884}" destId="{695EC5EB-5528-41E8-BDD2-F1F7F832A6F8}" srcOrd="0" destOrd="0" presId="urn:microsoft.com/office/officeart/2005/8/layout/process1"/>
    <dgm:cxn modelId="{F84117FC-E3E6-4C57-830E-A12B8571EE1A}" type="presOf" srcId="{84144FE4-439E-45BB-8F00-B9286B31F0D1}" destId="{507AA844-54C8-49E0-B337-7FA328FC6C93}" srcOrd="0" destOrd="0" presId="urn:microsoft.com/office/officeart/2005/8/layout/process1"/>
    <dgm:cxn modelId="{26AA3DFC-0798-4EE8-80B6-AE503F4EFFA2}" type="presOf" srcId="{51F7E157-A4DF-449B-A8DC-A539390DC9F2}" destId="{469D73D0-50BE-481C-9D11-DE35B7604B71}" srcOrd="0" destOrd="0" presId="urn:microsoft.com/office/officeart/2005/8/layout/process1"/>
    <dgm:cxn modelId="{AF1F2E2B-8510-49E8-9B00-B0E6C3523502}" type="presParOf" srcId="{507AA844-54C8-49E0-B337-7FA328FC6C93}" destId="{1E3241B2-62AC-406D-AD49-0399E6D308FF}" srcOrd="0" destOrd="0" presId="urn:microsoft.com/office/officeart/2005/8/layout/process1"/>
    <dgm:cxn modelId="{7F642A0F-78C0-45A1-9F74-F17B42490A6B}" type="presParOf" srcId="{507AA844-54C8-49E0-B337-7FA328FC6C93}" destId="{202A991C-DEF5-4C42-AD06-B39C500C6C0C}" srcOrd="1" destOrd="0" presId="urn:microsoft.com/office/officeart/2005/8/layout/process1"/>
    <dgm:cxn modelId="{C9719EB6-43FE-4F89-95E7-1F91662E2E1C}" type="presParOf" srcId="{202A991C-DEF5-4C42-AD06-B39C500C6C0C}" destId="{19359C0C-31E4-4829-AEF3-F70BBEE1111E}" srcOrd="0" destOrd="0" presId="urn:microsoft.com/office/officeart/2005/8/layout/process1"/>
    <dgm:cxn modelId="{1CAA3373-A663-406B-988A-0A0E928EA560}" type="presParOf" srcId="{507AA844-54C8-49E0-B337-7FA328FC6C93}" destId="{59F6D4DF-16C1-4EF6-8D6A-B121A1BD1A73}" srcOrd="2" destOrd="0" presId="urn:microsoft.com/office/officeart/2005/8/layout/process1"/>
    <dgm:cxn modelId="{EF55AA61-D80B-4E8B-A4D5-438304497674}" type="presParOf" srcId="{507AA844-54C8-49E0-B337-7FA328FC6C93}" destId="{E3E46197-C275-4F82-9558-FFC37C4D4C1D}" srcOrd="3" destOrd="0" presId="urn:microsoft.com/office/officeart/2005/8/layout/process1"/>
    <dgm:cxn modelId="{13B72460-4175-4CC2-8659-36DE929C6EFC}" type="presParOf" srcId="{E3E46197-C275-4F82-9558-FFC37C4D4C1D}" destId="{6B4E37D7-B8AF-4BFE-84CA-7C2B747D2CAC}" srcOrd="0" destOrd="0" presId="urn:microsoft.com/office/officeart/2005/8/layout/process1"/>
    <dgm:cxn modelId="{A5BB9ED9-E1FE-441C-ACBE-17E3853C8EBB}" type="presParOf" srcId="{507AA844-54C8-49E0-B337-7FA328FC6C93}" destId="{469D73D0-50BE-481C-9D11-DE35B7604B71}" srcOrd="4" destOrd="0" presId="urn:microsoft.com/office/officeart/2005/8/layout/process1"/>
    <dgm:cxn modelId="{1CDD7EAD-D982-437A-9BA8-8565FF8223B7}" type="presParOf" srcId="{507AA844-54C8-49E0-B337-7FA328FC6C93}" destId="{2309A02B-B6A0-4DFB-86BC-01B68BA6BC9D}" srcOrd="5" destOrd="0" presId="urn:microsoft.com/office/officeart/2005/8/layout/process1"/>
    <dgm:cxn modelId="{F622B577-8042-428E-A3F4-8C7280F4B7D9}" type="presParOf" srcId="{2309A02B-B6A0-4DFB-86BC-01B68BA6BC9D}" destId="{13A21B8F-43C6-4954-92E2-316714447180}" srcOrd="0" destOrd="0" presId="urn:microsoft.com/office/officeart/2005/8/layout/process1"/>
    <dgm:cxn modelId="{52007D0C-FF65-4F6A-90A7-55ED42C73FC8}" type="presParOf" srcId="{507AA844-54C8-49E0-B337-7FA328FC6C93}" destId="{695EC5EB-5528-41E8-BDD2-F1F7F832A6F8}" srcOrd="6" destOrd="0" presId="urn:microsoft.com/office/officeart/2005/8/layout/process1"/>
  </dgm:cxnLst>
  <dgm:bg/>
  <dgm:whole/>
  <dgm:extLst>
    <a:ext uri="http://schemas.microsoft.com/office/drawing/2008/diagram">
      <dsp:dataModelExt xmlns:dsp="http://schemas.microsoft.com/office/drawing/2008/diagram" relId="rId32" minVer="http://schemas.openxmlformats.org/drawingml/2006/diagram"/>
    </a:ext>
  </dgm:extLst>
</dgm:dataModel>
</file>

<file path=word/diagrams/data6.xml><?xml version="1.0" encoding="utf-8"?>
<dgm:dataModel xmlns:dgm="http://schemas.openxmlformats.org/drawingml/2006/diagram" xmlns:a="http://schemas.openxmlformats.org/drawingml/2006/main">
  <dgm:ptLst>
    <dgm:pt modelId="{362623AF-42E2-47EF-B976-5A6A05863597}" type="doc">
      <dgm:prSet loTypeId="urn:microsoft.com/office/officeart/2005/8/layout/chevron2" loCatId="list" qsTypeId="urn:microsoft.com/office/officeart/2005/8/quickstyle/3d2" qsCatId="3D" csTypeId="urn:microsoft.com/office/officeart/2005/8/colors/accent0_1" csCatId="mainScheme" phldr="1"/>
      <dgm:spPr/>
      <dgm:t>
        <a:bodyPr/>
        <a:lstStyle/>
        <a:p>
          <a:endParaRPr lang="ru-RU"/>
        </a:p>
      </dgm:t>
    </dgm:pt>
    <dgm:pt modelId="{4CCE4030-E0F8-4864-8F6F-A6AB1FF22C4A}">
      <dgm:prSet phldrT="[Текст]"/>
      <dgm:spPr>
        <a:xfrm rot="5400000">
          <a:off x="-95871" y="97140"/>
          <a:ext cx="639146" cy="447402"/>
        </a:xfrm>
        <a:prstGeom prst="chevron">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pPr algn="ctr">
            <a:buNone/>
          </a:pPr>
          <a:r>
            <a:rPr lang="ru-RU">
              <a:solidFill>
                <a:sysClr val="windowText" lastClr="000000">
                  <a:hueOff val="0"/>
                  <a:satOff val="0"/>
                  <a:lumOff val="0"/>
                  <a:alphaOff val="0"/>
                </a:sysClr>
              </a:solidFill>
              <a:latin typeface="Calibri" panose="020F0502020204030204"/>
              <a:ea typeface="+mn-ea"/>
              <a:cs typeface="+mn-cs"/>
            </a:rPr>
            <a:t>1.</a:t>
          </a:r>
        </a:p>
      </dgm:t>
    </dgm:pt>
    <dgm:pt modelId="{396304D5-5FCE-4A0F-8777-B817E5E895BE}" type="parTrans" cxnId="{ACA2A35E-F256-4AC7-A4A4-86C7A056D305}">
      <dgm:prSet/>
      <dgm:spPr/>
      <dgm:t>
        <a:bodyPr/>
        <a:lstStyle/>
        <a:p>
          <a:pPr algn="ctr"/>
          <a:endParaRPr lang="ru-RU"/>
        </a:p>
      </dgm:t>
    </dgm:pt>
    <dgm:pt modelId="{0934C976-D400-4800-8C27-AFD6470F871E}" type="sibTrans" cxnId="{ACA2A35E-F256-4AC7-A4A4-86C7A056D305}">
      <dgm:prSet/>
      <dgm:spPr/>
      <dgm:t>
        <a:bodyPr/>
        <a:lstStyle/>
        <a:p>
          <a:pPr algn="ctr"/>
          <a:endParaRPr lang="ru-RU"/>
        </a:p>
      </dgm:t>
    </dgm:pt>
    <dgm:pt modelId="{946E7D8C-835B-44EC-877F-BE4353F09AD1}">
      <dgm:prSet phldrT="[Текст]" custT="1"/>
      <dgm:spPr>
        <a:xfrm rot="5400000">
          <a:off x="2458188" y="-2010784"/>
          <a:ext cx="415444" cy="4437017"/>
        </a:xfrm>
        <a:prstGeom prst="round2SameRect">
          <a:avLst/>
        </a:prstGeom>
        <a:solidFill>
          <a:sysClr val="windowText" lastClr="000000">
            <a:alpha val="9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pPr algn="ctr">
            <a:buChar char="•"/>
          </a:pPr>
          <a:r>
            <a:rPr lang="ru-RU" sz="11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Контроль правильности выбора таможенной стоимости товаров</a:t>
          </a:r>
        </a:p>
      </dgm:t>
    </dgm:pt>
    <dgm:pt modelId="{5F5B4752-27E1-4AB3-9E17-B2A9C0B50071}" type="parTrans" cxnId="{378F1874-0375-4973-85E7-1BD6B91A6BD7}">
      <dgm:prSet/>
      <dgm:spPr/>
      <dgm:t>
        <a:bodyPr/>
        <a:lstStyle/>
        <a:p>
          <a:pPr algn="ctr"/>
          <a:endParaRPr lang="ru-RU"/>
        </a:p>
      </dgm:t>
    </dgm:pt>
    <dgm:pt modelId="{9B22BCBE-CA44-4D83-AA42-03248316F1AE}" type="sibTrans" cxnId="{378F1874-0375-4973-85E7-1BD6B91A6BD7}">
      <dgm:prSet/>
      <dgm:spPr/>
      <dgm:t>
        <a:bodyPr/>
        <a:lstStyle/>
        <a:p>
          <a:pPr algn="ctr"/>
          <a:endParaRPr lang="ru-RU"/>
        </a:p>
      </dgm:t>
    </dgm:pt>
    <dgm:pt modelId="{4D78462A-96B3-4986-ABE8-EBE5077DD3D5}">
      <dgm:prSet phldrT="[Текст]"/>
      <dgm:spPr>
        <a:xfrm rot="5400000">
          <a:off x="-95871" y="602066"/>
          <a:ext cx="639146" cy="447402"/>
        </a:xfrm>
        <a:prstGeom prst="chevron">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pPr algn="ctr">
            <a:buNone/>
          </a:pPr>
          <a:r>
            <a:rPr lang="ru-RU">
              <a:solidFill>
                <a:sysClr val="windowText" lastClr="000000">
                  <a:hueOff val="0"/>
                  <a:satOff val="0"/>
                  <a:lumOff val="0"/>
                  <a:alphaOff val="0"/>
                </a:sysClr>
              </a:solidFill>
              <a:latin typeface="Calibri" panose="020F0502020204030204"/>
              <a:ea typeface="+mn-ea"/>
              <a:cs typeface="+mn-cs"/>
            </a:rPr>
            <a:t>2.</a:t>
          </a:r>
        </a:p>
      </dgm:t>
    </dgm:pt>
    <dgm:pt modelId="{0368BF55-F90E-40E5-AA62-AC79A07383D6}" type="parTrans" cxnId="{53D4DF01-45BA-4FB7-9707-F2820260F434}">
      <dgm:prSet/>
      <dgm:spPr/>
      <dgm:t>
        <a:bodyPr/>
        <a:lstStyle/>
        <a:p>
          <a:pPr algn="ctr"/>
          <a:endParaRPr lang="ru-RU"/>
        </a:p>
      </dgm:t>
    </dgm:pt>
    <dgm:pt modelId="{C65BDC60-F9E6-4B8F-B860-C163C8D3FEED}" type="sibTrans" cxnId="{53D4DF01-45BA-4FB7-9707-F2820260F434}">
      <dgm:prSet/>
      <dgm:spPr/>
      <dgm:t>
        <a:bodyPr/>
        <a:lstStyle/>
        <a:p>
          <a:pPr algn="ctr"/>
          <a:endParaRPr lang="ru-RU"/>
        </a:p>
      </dgm:t>
    </dgm:pt>
    <dgm:pt modelId="{3780CECE-AB48-4820-87FE-7172E20C50A6}">
      <dgm:prSet phldrT="[Текст]"/>
      <dgm:spPr>
        <a:xfrm rot="5400000">
          <a:off x="2458188" y="-1504592"/>
          <a:ext cx="415444" cy="4437017"/>
        </a:xfrm>
        <a:prstGeom prst="round2SameRect">
          <a:avLst/>
        </a:prstGeom>
        <a:solidFill>
          <a:sysClr val="windowText" lastClr="000000">
            <a:alpha val="9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pPr algn="ctr">
            <a:lnSpc>
              <a:spcPct val="100000"/>
            </a:lnSpc>
            <a:spcAft>
              <a:spcPts val="0"/>
            </a:spcAft>
            <a:buChar char="•"/>
          </a:pPr>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Контроль правильности завления и определения декларантом структуры контроля таможенной стоимости товаров </a:t>
          </a:r>
        </a:p>
      </dgm:t>
    </dgm:pt>
    <dgm:pt modelId="{E96A79D2-F087-4AAD-BCF9-A88FC2673AAD}" type="parTrans" cxnId="{D137FDDD-0CF9-4765-879C-2C3A896F772A}">
      <dgm:prSet/>
      <dgm:spPr/>
      <dgm:t>
        <a:bodyPr/>
        <a:lstStyle/>
        <a:p>
          <a:pPr algn="ctr"/>
          <a:endParaRPr lang="ru-RU"/>
        </a:p>
      </dgm:t>
    </dgm:pt>
    <dgm:pt modelId="{4FC88A09-C8EB-455B-860F-E9578A65EFCC}" type="sibTrans" cxnId="{D137FDDD-0CF9-4765-879C-2C3A896F772A}">
      <dgm:prSet/>
      <dgm:spPr/>
      <dgm:t>
        <a:bodyPr/>
        <a:lstStyle/>
        <a:p>
          <a:pPr algn="ctr"/>
          <a:endParaRPr lang="ru-RU"/>
        </a:p>
      </dgm:t>
    </dgm:pt>
    <dgm:pt modelId="{E45983BF-F5E1-41E6-9506-B0F76E62BDF0}">
      <dgm:prSet phldrT="[Текст]"/>
      <dgm:spPr>
        <a:xfrm rot="5400000">
          <a:off x="-95871" y="1106991"/>
          <a:ext cx="639146" cy="447402"/>
        </a:xfrm>
        <a:prstGeom prst="chevron">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pPr algn="ctr">
            <a:buNone/>
          </a:pPr>
          <a:r>
            <a:rPr lang="ru-RU">
              <a:solidFill>
                <a:sysClr val="windowText" lastClr="000000">
                  <a:hueOff val="0"/>
                  <a:satOff val="0"/>
                  <a:lumOff val="0"/>
                  <a:alphaOff val="0"/>
                </a:sysClr>
              </a:solidFill>
              <a:latin typeface="Calibri" panose="020F0502020204030204"/>
              <a:ea typeface="+mn-ea"/>
              <a:cs typeface="+mn-cs"/>
            </a:rPr>
            <a:t>3.</a:t>
          </a:r>
        </a:p>
      </dgm:t>
    </dgm:pt>
    <dgm:pt modelId="{EE06E1CC-C43C-4562-AD7D-999907074213}" type="parTrans" cxnId="{0A20E8EC-D1E1-4EAC-800A-1FEBA7EEE19D}">
      <dgm:prSet/>
      <dgm:spPr/>
      <dgm:t>
        <a:bodyPr/>
        <a:lstStyle/>
        <a:p>
          <a:pPr algn="ctr"/>
          <a:endParaRPr lang="ru-RU"/>
        </a:p>
      </dgm:t>
    </dgm:pt>
    <dgm:pt modelId="{6C08DACA-8059-4C48-BC4D-9AD4DC55DFC8}" type="sibTrans" cxnId="{0A20E8EC-D1E1-4EAC-800A-1FEBA7EEE19D}">
      <dgm:prSet/>
      <dgm:spPr/>
      <dgm:t>
        <a:bodyPr/>
        <a:lstStyle/>
        <a:p>
          <a:pPr algn="ctr"/>
          <a:endParaRPr lang="ru-RU"/>
        </a:p>
      </dgm:t>
    </dgm:pt>
    <dgm:pt modelId="{ADACB07C-F809-4542-A6F9-F02CC3EB9EB8}">
      <dgm:prSet phldrT="[Текст]"/>
      <dgm:spPr>
        <a:xfrm rot="5400000">
          <a:off x="2458188" y="-999666"/>
          <a:ext cx="415444" cy="4437017"/>
        </a:xfrm>
        <a:prstGeom prst="round2SameRect">
          <a:avLst/>
        </a:prstGeom>
        <a:solidFill>
          <a:sysClr val="windowText" lastClr="000000">
            <a:alpha val="9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pPr algn="ctr">
            <a:buChar char="•"/>
          </a:pPr>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Контроль предоставляемых документов в соответствии с установленной формой </a:t>
          </a:r>
        </a:p>
      </dgm:t>
    </dgm:pt>
    <dgm:pt modelId="{0C7FB350-AB2B-4F53-B84A-77F8356ED432}" type="parTrans" cxnId="{84B69B91-0C39-457E-8196-3574D90D4E0A}">
      <dgm:prSet/>
      <dgm:spPr/>
      <dgm:t>
        <a:bodyPr/>
        <a:lstStyle/>
        <a:p>
          <a:pPr algn="ctr"/>
          <a:endParaRPr lang="ru-RU"/>
        </a:p>
      </dgm:t>
    </dgm:pt>
    <dgm:pt modelId="{E672D719-8845-4950-8EB8-2CBEC9C36CC8}" type="sibTrans" cxnId="{84B69B91-0C39-457E-8196-3574D90D4E0A}">
      <dgm:prSet/>
      <dgm:spPr/>
      <dgm:t>
        <a:bodyPr/>
        <a:lstStyle/>
        <a:p>
          <a:pPr algn="ctr"/>
          <a:endParaRPr lang="ru-RU"/>
        </a:p>
      </dgm:t>
    </dgm:pt>
    <dgm:pt modelId="{073A51CD-4CA0-49D4-9216-6C949E6F16E8}">
      <dgm:prSet/>
      <dgm:spPr>
        <a:xfrm rot="5400000">
          <a:off x="-95871" y="1611916"/>
          <a:ext cx="639146" cy="447402"/>
        </a:xfrm>
        <a:prstGeom prst="chevron">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a:scene3d>
          <a:camera prst="orthographicFront"/>
          <a:lightRig rig="threePt" dir="t">
            <a:rot lat="0" lon="0" rev="7500000"/>
          </a:lightRig>
        </a:scene3d>
        <a:sp3d prstMaterial="plastic">
          <a:bevelT w="127000" h="25400" prst="relaxedInset"/>
        </a:sp3d>
      </dgm:spPr>
      <dgm:t>
        <a:bodyPr/>
        <a:lstStyle/>
        <a:p>
          <a:pPr algn="ctr">
            <a:buNone/>
          </a:pPr>
          <a:r>
            <a:rPr lang="ru-RU">
              <a:solidFill>
                <a:sysClr val="windowText" lastClr="000000">
                  <a:hueOff val="0"/>
                  <a:satOff val="0"/>
                  <a:lumOff val="0"/>
                  <a:alphaOff val="0"/>
                </a:sysClr>
              </a:solidFill>
              <a:latin typeface="Calibri" panose="020F0502020204030204"/>
              <a:ea typeface="+mn-ea"/>
              <a:cs typeface="+mn-cs"/>
            </a:rPr>
            <a:t>4.</a:t>
          </a:r>
        </a:p>
      </dgm:t>
    </dgm:pt>
    <dgm:pt modelId="{B141D131-65EF-41C5-90FA-6C3519AC1410}" type="parTrans" cxnId="{89C98170-C2A6-456A-A109-664BF75D71F5}">
      <dgm:prSet/>
      <dgm:spPr/>
      <dgm:t>
        <a:bodyPr/>
        <a:lstStyle/>
        <a:p>
          <a:pPr algn="ctr"/>
          <a:endParaRPr lang="ru-RU"/>
        </a:p>
      </dgm:t>
    </dgm:pt>
    <dgm:pt modelId="{CBCE4523-4A2D-44A3-AF63-6BE5D876BDF3}" type="sibTrans" cxnId="{89C98170-C2A6-456A-A109-664BF75D71F5}">
      <dgm:prSet/>
      <dgm:spPr/>
      <dgm:t>
        <a:bodyPr/>
        <a:lstStyle/>
        <a:p>
          <a:pPr algn="ctr"/>
          <a:endParaRPr lang="ru-RU"/>
        </a:p>
      </dgm:t>
    </dgm:pt>
    <dgm:pt modelId="{01A12C5F-8776-42DC-A5F2-EF6CAE362909}">
      <dgm:prSet/>
      <dgm:spPr>
        <a:xfrm rot="5400000">
          <a:off x="2458188" y="-494741"/>
          <a:ext cx="415444" cy="4437017"/>
        </a:xfrm>
        <a:prstGeom prst="round2SameRect">
          <a:avLst/>
        </a:prstGeom>
        <a:solidFill>
          <a:sysClr val="windowText" lastClr="000000">
            <a:alpha val="9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gm:spPr>
      <dgm:t>
        <a:bodyPr/>
        <a:lstStyle/>
        <a:p>
          <a:pPr algn="ctr">
            <a:buChar char="•"/>
          </a:pPr>
          <a:r>
            <a:rPr lang="ru-RU">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Оценка достоверности заявленной декларантом контроля таможенной стоимости товаров с применением системы управления рисками</a:t>
          </a:r>
        </a:p>
      </dgm:t>
    </dgm:pt>
    <dgm:pt modelId="{548F3438-6A28-4EF6-B027-940A28B73D95}" type="parTrans" cxnId="{17002C4F-124D-44B5-B0F4-20481B993628}">
      <dgm:prSet/>
      <dgm:spPr/>
      <dgm:t>
        <a:bodyPr/>
        <a:lstStyle/>
        <a:p>
          <a:pPr algn="ctr"/>
          <a:endParaRPr lang="ru-RU"/>
        </a:p>
      </dgm:t>
    </dgm:pt>
    <dgm:pt modelId="{B622D161-9953-409A-8DB3-971CAB943C4F}" type="sibTrans" cxnId="{17002C4F-124D-44B5-B0F4-20481B993628}">
      <dgm:prSet/>
      <dgm:spPr/>
      <dgm:t>
        <a:bodyPr/>
        <a:lstStyle/>
        <a:p>
          <a:pPr algn="ctr"/>
          <a:endParaRPr lang="ru-RU"/>
        </a:p>
      </dgm:t>
    </dgm:pt>
    <dgm:pt modelId="{D4530218-C7AA-4015-AEDB-388BE7E83D60}" type="pres">
      <dgm:prSet presAssocID="{362623AF-42E2-47EF-B976-5A6A05863597}" presName="linearFlow" presStyleCnt="0">
        <dgm:presLayoutVars>
          <dgm:dir/>
          <dgm:animLvl val="lvl"/>
          <dgm:resizeHandles val="exact"/>
        </dgm:presLayoutVars>
      </dgm:prSet>
      <dgm:spPr/>
    </dgm:pt>
    <dgm:pt modelId="{00DD18EF-24FC-401E-B20E-9A26B711A33D}" type="pres">
      <dgm:prSet presAssocID="{4CCE4030-E0F8-4864-8F6F-A6AB1FF22C4A}" presName="composite" presStyleCnt="0"/>
      <dgm:spPr/>
    </dgm:pt>
    <dgm:pt modelId="{6E3FA5D0-7AC8-4217-B308-F07F326EDD07}" type="pres">
      <dgm:prSet presAssocID="{4CCE4030-E0F8-4864-8F6F-A6AB1FF22C4A}" presName="parentText" presStyleLbl="alignNode1" presStyleIdx="0" presStyleCnt="4">
        <dgm:presLayoutVars>
          <dgm:chMax val="1"/>
          <dgm:bulletEnabled val="1"/>
        </dgm:presLayoutVars>
      </dgm:prSet>
      <dgm:spPr/>
    </dgm:pt>
    <dgm:pt modelId="{1A54F7DE-657B-4589-BBFE-AF2F3DD321B1}" type="pres">
      <dgm:prSet presAssocID="{4CCE4030-E0F8-4864-8F6F-A6AB1FF22C4A}" presName="descendantText" presStyleLbl="alignAcc1" presStyleIdx="0" presStyleCnt="4" custLinFactNeighborX="0" custLinFactNeighborY="-305">
        <dgm:presLayoutVars>
          <dgm:bulletEnabled val="1"/>
        </dgm:presLayoutVars>
      </dgm:prSet>
      <dgm:spPr/>
    </dgm:pt>
    <dgm:pt modelId="{683931D4-59EB-490A-9C13-58B065D70738}" type="pres">
      <dgm:prSet presAssocID="{0934C976-D400-4800-8C27-AFD6470F871E}" presName="sp" presStyleCnt="0"/>
      <dgm:spPr/>
    </dgm:pt>
    <dgm:pt modelId="{37CC68BB-0981-4113-A302-0F0413DF2D2F}" type="pres">
      <dgm:prSet presAssocID="{4D78462A-96B3-4986-ABE8-EBE5077DD3D5}" presName="composite" presStyleCnt="0"/>
      <dgm:spPr/>
    </dgm:pt>
    <dgm:pt modelId="{F6429CAC-3B6F-43B7-A670-C8BACE4ECB8F}" type="pres">
      <dgm:prSet presAssocID="{4D78462A-96B3-4986-ABE8-EBE5077DD3D5}" presName="parentText" presStyleLbl="alignNode1" presStyleIdx="1" presStyleCnt="4">
        <dgm:presLayoutVars>
          <dgm:chMax val="1"/>
          <dgm:bulletEnabled val="1"/>
        </dgm:presLayoutVars>
      </dgm:prSet>
      <dgm:spPr/>
    </dgm:pt>
    <dgm:pt modelId="{CF1F2BC9-FED6-4DB9-AACA-46AF90302866}" type="pres">
      <dgm:prSet presAssocID="{4D78462A-96B3-4986-ABE8-EBE5077DD3D5}" presName="descendantText" presStyleLbl="alignAcc1" presStyleIdx="1" presStyleCnt="4">
        <dgm:presLayoutVars>
          <dgm:bulletEnabled val="1"/>
        </dgm:presLayoutVars>
      </dgm:prSet>
      <dgm:spPr/>
    </dgm:pt>
    <dgm:pt modelId="{32B8462B-E640-4D91-86B8-D94E620EED06}" type="pres">
      <dgm:prSet presAssocID="{C65BDC60-F9E6-4B8F-B860-C163C8D3FEED}" presName="sp" presStyleCnt="0"/>
      <dgm:spPr/>
    </dgm:pt>
    <dgm:pt modelId="{3056C59E-313E-4539-BCB7-6BA2BD903B23}" type="pres">
      <dgm:prSet presAssocID="{E45983BF-F5E1-41E6-9506-B0F76E62BDF0}" presName="composite" presStyleCnt="0"/>
      <dgm:spPr/>
    </dgm:pt>
    <dgm:pt modelId="{241D1613-A35B-497C-A393-53175469D02B}" type="pres">
      <dgm:prSet presAssocID="{E45983BF-F5E1-41E6-9506-B0F76E62BDF0}" presName="parentText" presStyleLbl="alignNode1" presStyleIdx="2" presStyleCnt="4">
        <dgm:presLayoutVars>
          <dgm:chMax val="1"/>
          <dgm:bulletEnabled val="1"/>
        </dgm:presLayoutVars>
      </dgm:prSet>
      <dgm:spPr/>
    </dgm:pt>
    <dgm:pt modelId="{B2E431A1-5EB8-47B1-B949-89FC2BB85B9D}" type="pres">
      <dgm:prSet presAssocID="{E45983BF-F5E1-41E6-9506-B0F76E62BDF0}" presName="descendantText" presStyleLbl="alignAcc1" presStyleIdx="2" presStyleCnt="4">
        <dgm:presLayoutVars>
          <dgm:bulletEnabled val="1"/>
        </dgm:presLayoutVars>
      </dgm:prSet>
      <dgm:spPr/>
    </dgm:pt>
    <dgm:pt modelId="{A56FD808-EC70-4FC2-8D3D-DFC78D9DE62C}" type="pres">
      <dgm:prSet presAssocID="{6C08DACA-8059-4C48-BC4D-9AD4DC55DFC8}" presName="sp" presStyleCnt="0"/>
      <dgm:spPr/>
    </dgm:pt>
    <dgm:pt modelId="{9FFA4D6E-0095-4BA8-ADCF-022CCE78A2F1}" type="pres">
      <dgm:prSet presAssocID="{073A51CD-4CA0-49D4-9216-6C949E6F16E8}" presName="composite" presStyleCnt="0"/>
      <dgm:spPr/>
    </dgm:pt>
    <dgm:pt modelId="{5A2105D8-8135-4B4B-8EAA-78DB599C2FD7}" type="pres">
      <dgm:prSet presAssocID="{073A51CD-4CA0-49D4-9216-6C949E6F16E8}" presName="parentText" presStyleLbl="alignNode1" presStyleIdx="3" presStyleCnt="4">
        <dgm:presLayoutVars>
          <dgm:chMax val="1"/>
          <dgm:bulletEnabled val="1"/>
        </dgm:presLayoutVars>
      </dgm:prSet>
      <dgm:spPr/>
    </dgm:pt>
    <dgm:pt modelId="{575A87B3-D50A-43CE-A20A-2D36424EBB95}" type="pres">
      <dgm:prSet presAssocID="{073A51CD-4CA0-49D4-9216-6C949E6F16E8}" presName="descendantText" presStyleLbl="alignAcc1" presStyleIdx="3" presStyleCnt="4">
        <dgm:presLayoutVars>
          <dgm:bulletEnabled val="1"/>
        </dgm:presLayoutVars>
      </dgm:prSet>
      <dgm:spPr/>
    </dgm:pt>
  </dgm:ptLst>
  <dgm:cxnLst>
    <dgm:cxn modelId="{53D4DF01-45BA-4FB7-9707-F2820260F434}" srcId="{362623AF-42E2-47EF-B976-5A6A05863597}" destId="{4D78462A-96B3-4986-ABE8-EBE5077DD3D5}" srcOrd="1" destOrd="0" parTransId="{0368BF55-F90E-40E5-AA62-AC79A07383D6}" sibTransId="{C65BDC60-F9E6-4B8F-B860-C163C8D3FEED}"/>
    <dgm:cxn modelId="{F311B814-8000-4B91-961E-E214AF7324F1}" type="presOf" srcId="{073A51CD-4CA0-49D4-9216-6C949E6F16E8}" destId="{5A2105D8-8135-4B4B-8EAA-78DB599C2FD7}" srcOrd="0" destOrd="0" presId="urn:microsoft.com/office/officeart/2005/8/layout/chevron2"/>
    <dgm:cxn modelId="{19DB9425-E45E-44B7-A6B7-869A45544724}" type="presOf" srcId="{4CCE4030-E0F8-4864-8F6F-A6AB1FF22C4A}" destId="{6E3FA5D0-7AC8-4217-B308-F07F326EDD07}" srcOrd="0" destOrd="0" presId="urn:microsoft.com/office/officeart/2005/8/layout/chevron2"/>
    <dgm:cxn modelId="{855F6229-F34F-422D-89CD-0D2F801AACAD}" type="presOf" srcId="{E45983BF-F5E1-41E6-9506-B0F76E62BDF0}" destId="{241D1613-A35B-497C-A393-53175469D02B}" srcOrd="0" destOrd="0" presId="urn:microsoft.com/office/officeart/2005/8/layout/chevron2"/>
    <dgm:cxn modelId="{CBD8972D-B3BB-4E0F-ABE9-F9AFB9E8CC6D}" type="presOf" srcId="{946E7D8C-835B-44EC-877F-BE4353F09AD1}" destId="{1A54F7DE-657B-4589-BBFE-AF2F3DD321B1}" srcOrd="0" destOrd="0" presId="urn:microsoft.com/office/officeart/2005/8/layout/chevron2"/>
    <dgm:cxn modelId="{17002C4F-124D-44B5-B0F4-20481B993628}" srcId="{073A51CD-4CA0-49D4-9216-6C949E6F16E8}" destId="{01A12C5F-8776-42DC-A5F2-EF6CAE362909}" srcOrd="0" destOrd="0" parTransId="{548F3438-6A28-4EF6-B027-940A28B73D95}" sibTransId="{B622D161-9953-409A-8DB3-971CAB943C4F}"/>
    <dgm:cxn modelId="{ACA2A35E-F256-4AC7-A4A4-86C7A056D305}" srcId="{362623AF-42E2-47EF-B976-5A6A05863597}" destId="{4CCE4030-E0F8-4864-8F6F-A6AB1FF22C4A}" srcOrd="0" destOrd="0" parTransId="{396304D5-5FCE-4A0F-8777-B817E5E895BE}" sibTransId="{0934C976-D400-4800-8C27-AFD6470F871E}"/>
    <dgm:cxn modelId="{FFC3BA6E-887B-4A42-AC92-7AE72E69240D}" type="presOf" srcId="{ADACB07C-F809-4542-A6F9-F02CC3EB9EB8}" destId="{B2E431A1-5EB8-47B1-B949-89FC2BB85B9D}" srcOrd="0" destOrd="0" presId="urn:microsoft.com/office/officeart/2005/8/layout/chevron2"/>
    <dgm:cxn modelId="{89C98170-C2A6-456A-A109-664BF75D71F5}" srcId="{362623AF-42E2-47EF-B976-5A6A05863597}" destId="{073A51CD-4CA0-49D4-9216-6C949E6F16E8}" srcOrd="3" destOrd="0" parTransId="{B141D131-65EF-41C5-90FA-6C3519AC1410}" sibTransId="{CBCE4523-4A2D-44A3-AF63-6BE5D876BDF3}"/>
    <dgm:cxn modelId="{378F1874-0375-4973-85E7-1BD6B91A6BD7}" srcId="{4CCE4030-E0F8-4864-8F6F-A6AB1FF22C4A}" destId="{946E7D8C-835B-44EC-877F-BE4353F09AD1}" srcOrd="0" destOrd="0" parTransId="{5F5B4752-27E1-4AB3-9E17-B2A9C0B50071}" sibTransId="{9B22BCBE-CA44-4D83-AA42-03248316F1AE}"/>
    <dgm:cxn modelId="{84B69B91-0C39-457E-8196-3574D90D4E0A}" srcId="{E45983BF-F5E1-41E6-9506-B0F76E62BDF0}" destId="{ADACB07C-F809-4542-A6F9-F02CC3EB9EB8}" srcOrd="0" destOrd="0" parTransId="{0C7FB350-AB2B-4F53-B84A-77F8356ED432}" sibTransId="{E672D719-8845-4950-8EB8-2CBEC9C36CC8}"/>
    <dgm:cxn modelId="{C8DF0696-BB57-4A01-80C0-1F55E9F3BF4B}" type="presOf" srcId="{3780CECE-AB48-4820-87FE-7172E20C50A6}" destId="{CF1F2BC9-FED6-4DB9-AACA-46AF90302866}" srcOrd="0" destOrd="0" presId="urn:microsoft.com/office/officeart/2005/8/layout/chevron2"/>
    <dgm:cxn modelId="{C75B48D7-217B-4CBF-953E-04FEC49A2E86}" type="presOf" srcId="{01A12C5F-8776-42DC-A5F2-EF6CAE362909}" destId="{575A87B3-D50A-43CE-A20A-2D36424EBB95}" srcOrd="0" destOrd="0" presId="urn:microsoft.com/office/officeart/2005/8/layout/chevron2"/>
    <dgm:cxn modelId="{D137FDDD-0CF9-4765-879C-2C3A896F772A}" srcId="{4D78462A-96B3-4986-ABE8-EBE5077DD3D5}" destId="{3780CECE-AB48-4820-87FE-7172E20C50A6}" srcOrd="0" destOrd="0" parTransId="{E96A79D2-F087-4AAD-BCF9-A88FC2673AAD}" sibTransId="{4FC88A09-C8EB-455B-860F-E9578A65EFCC}"/>
    <dgm:cxn modelId="{3AEE9AE3-AF2E-4883-9000-CBF4A58AA75E}" type="presOf" srcId="{362623AF-42E2-47EF-B976-5A6A05863597}" destId="{D4530218-C7AA-4015-AEDB-388BE7E83D60}" srcOrd="0" destOrd="0" presId="urn:microsoft.com/office/officeart/2005/8/layout/chevron2"/>
    <dgm:cxn modelId="{0A20E8EC-D1E1-4EAC-800A-1FEBA7EEE19D}" srcId="{362623AF-42E2-47EF-B976-5A6A05863597}" destId="{E45983BF-F5E1-41E6-9506-B0F76E62BDF0}" srcOrd="2" destOrd="0" parTransId="{EE06E1CC-C43C-4562-AD7D-999907074213}" sibTransId="{6C08DACA-8059-4C48-BC4D-9AD4DC55DFC8}"/>
    <dgm:cxn modelId="{495414FA-AA93-484D-9B89-805343FC38FA}" type="presOf" srcId="{4D78462A-96B3-4986-ABE8-EBE5077DD3D5}" destId="{F6429CAC-3B6F-43B7-A670-C8BACE4ECB8F}" srcOrd="0" destOrd="0" presId="urn:microsoft.com/office/officeart/2005/8/layout/chevron2"/>
    <dgm:cxn modelId="{86E2926A-6FBB-47B2-80BA-A67247922F57}" type="presParOf" srcId="{D4530218-C7AA-4015-AEDB-388BE7E83D60}" destId="{00DD18EF-24FC-401E-B20E-9A26B711A33D}" srcOrd="0" destOrd="0" presId="urn:microsoft.com/office/officeart/2005/8/layout/chevron2"/>
    <dgm:cxn modelId="{10EE381E-5A04-41C4-92FB-70CF07AFC15B}" type="presParOf" srcId="{00DD18EF-24FC-401E-B20E-9A26B711A33D}" destId="{6E3FA5D0-7AC8-4217-B308-F07F326EDD07}" srcOrd="0" destOrd="0" presId="urn:microsoft.com/office/officeart/2005/8/layout/chevron2"/>
    <dgm:cxn modelId="{B8B70511-F0A0-475A-BA05-23707F5137C2}" type="presParOf" srcId="{00DD18EF-24FC-401E-B20E-9A26B711A33D}" destId="{1A54F7DE-657B-4589-BBFE-AF2F3DD321B1}" srcOrd="1" destOrd="0" presId="urn:microsoft.com/office/officeart/2005/8/layout/chevron2"/>
    <dgm:cxn modelId="{1E2C297C-0F14-48B9-9CB2-FB35609658C8}" type="presParOf" srcId="{D4530218-C7AA-4015-AEDB-388BE7E83D60}" destId="{683931D4-59EB-490A-9C13-58B065D70738}" srcOrd="1" destOrd="0" presId="urn:microsoft.com/office/officeart/2005/8/layout/chevron2"/>
    <dgm:cxn modelId="{9245BC7D-4A5F-49B8-B06E-0B8A58E2E3A3}" type="presParOf" srcId="{D4530218-C7AA-4015-AEDB-388BE7E83D60}" destId="{37CC68BB-0981-4113-A302-0F0413DF2D2F}" srcOrd="2" destOrd="0" presId="urn:microsoft.com/office/officeart/2005/8/layout/chevron2"/>
    <dgm:cxn modelId="{FDDDE6E1-C6F2-4DD9-810E-6B94152658F4}" type="presParOf" srcId="{37CC68BB-0981-4113-A302-0F0413DF2D2F}" destId="{F6429CAC-3B6F-43B7-A670-C8BACE4ECB8F}" srcOrd="0" destOrd="0" presId="urn:microsoft.com/office/officeart/2005/8/layout/chevron2"/>
    <dgm:cxn modelId="{3FFE616A-7534-4A57-A079-90CA387590CF}" type="presParOf" srcId="{37CC68BB-0981-4113-A302-0F0413DF2D2F}" destId="{CF1F2BC9-FED6-4DB9-AACA-46AF90302866}" srcOrd="1" destOrd="0" presId="urn:microsoft.com/office/officeart/2005/8/layout/chevron2"/>
    <dgm:cxn modelId="{8A5237E3-1649-4578-942C-9F14C5D08FC0}" type="presParOf" srcId="{D4530218-C7AA-4015-AEDB-388BE7E83D60}" destId="{32B8462B-E640-4D91-86B8-D94E620EED06}" srcOrd="3" destOrd="0" presId="urn:microsoft.com/office/officeart/2005/8/layout/chevron2"/>
    <dgm:cxn modelId="{B5EDCB36-C46D-44B7-855D-AEF3531B0EEC}" type="presParOf" srcId="{D4530218-C7AA-4015-AEDB-388BE7E83D60}" destId="{3056C59E-313E-4539-BCB7-6BA2BD903B23}" srcOrd="4" destOrd="0" presId="urn:microsoft.com/office/officeart/2005/8/layout/chevron2"/>
    <dgm:cxn modelId="{6E13BDC2-2AB6-4E3F-B43C-453D95545240}" type="presParOf" srcId="{3056C59E-313E-4539-BCB7-6BA2BD903B23}" destId="{241D1613-A35B-497C-A393-53175469D02B}" srcOrd="0" destOrd="0" presId="urn:microsoft.com/office/officeart/2005/8/layout/chevron2"/>
    <dgm:cxn modelId="{4D6D4DD3-E46B-4F2B-8FF7-780E2A60AEE3}" type="presParOf" srcId="{3056C59E-313E-4539-BCB7-6BA2BD903B23}" destId="{B2E431A1-5EB8-47B1-B949-89FC2BB85B9D}" srcOrd="1" destOrd="0" presId="urn:microsoft.com/office/officeart/2005/8/layout/chevron2"/>
    <dgm:cxn modelId="{8F0BC63D-ECC4-4033-875C-7782A64E8A1B}" type="presParOf" srcId="{D4530218-C7AA-4015-AEDB-388BE7E83D60}" destId="{A56FD808-EC70-4FC2-8D3D-DFC78D9DE62C}" srcOrd="5" destOrd="0" presId="urn:microsoft.com/office/officeart/2005/8/layout/chevron2"/>
    <dgm:cxn modelId="{7FD74B93-F5B5-422D-B93E-FA94A1D91677}" type="presParOf" srcId="{D4530218-C7AA-4015-AEDB-388BE7E83D60}" destId="{9FFA4D6E-0095-4BA8-ADCF-022CCE78A2F1}" srcOrd="6" destOrd="0" presId="urn:microsoft.com/office/officeart/2005/8/layout/chevron2"/>
    <dgm:cxn modelId="{954BAD3D-23DB-4D8D-AB4F-471804D71A83}" type="presParOf" srcId="{9FFA4D6E-0095-4BA8-ADCF-022CCE78A2F1}" destId="{5A2105D8-8135-4B4B-8EAA-78DB599C2FD7}" srcOrd="0" destOrd="0" presId="urn:microsoft.com/office/officeart/2005/8/layout/chevron2"/>
    <dgm:cxn modelId="{537462A6-3343-43B7-BC65-D4F7DD9EF30E}" type="presParOf" srcId="{9FFA4D6E-0095-4BA8-ADCF-022CCE78A2F1}" destId="{575A87B3-D50A-43CE-A20A-2D36424EBB95}" srcOrd="1" destOrd="0" presId="urn:microsoft.com/office/officeart/2005/8/layout/chevron2"/>
  </dgm:cxnLst>
  <dgm:bg/>
  <dgm:whole/>
  <dgm:extLst>
    <a:ext uri="http://schemas.microsoft.com/office/drawing/2008/diagram">
      <dsp:dataModelExt xmlns:dsp="http://schemas.microsoft.com/office/drawing/2008/diagram" relId="rId38" minVer="http://schemas.openxmlformats.org/drawingml/2006/diagram"/>
    </a:ext>
  </dgm:extLst>
</dgm:dataModel>
</file>

<file path=word/diagrams/data7.xml><?xml version="1.0" encoding="utf-8"?>
<dgm:dataModel xmlns:dgm="http://schemas.openxmlformats.org/drawingml/2006/diagram" xmlns:a="http://schemas.openxmlformats.org/drawingml/2006/main">
  <dgm:ptLst>
    <dgm:pt modelId="{BC364443-5AC9-49A4-B04C-F7A843715A22}" type="doc">
      <dgm:prSet loTypeId="urn:microsoft.com/office/officeart/2008/layout/HorizontalMultiLevelHierarchy" loCatId="hierarchy" qsTypeId="urn:microsoft.com/office/officeart/2005/8/quickstyle/simple1" qsCatId="simple" csTypeId="urn:microsoft.com/office/officeart/2005/8/colors/accent0_1" csCatId="mainScheme" phldr="1"/>
      <dgm:spPr/>
      <dgm:t>
        <a:bodyPr/>
        <a:lstStyle/>
        <a:p>
          <a:endParaRPr lang="ru-RU"/>
        </a:p>
      </dgm:t>
    </dgm:pt>
    <dgm:pt modelId="{FB39E21B-0558-4C09-A51D-40D974EE2DB6}">
      <dgm:prSet phldrT="[Текст]" custT="1"/>
      <dgm:spPr/>
      <dgm:t>
        <a:bodyPr/>
        <a:lstStyle/>
        <a:p>
          <a:r>
            <a:rPr lang="ru-RU" sz="1200">
              <a:latin typeface="Times New Roman" panose="02020603050405020304" pitchFamily="18" charset="0"/>
              <a:cs typeface="Times New Roman" panose="02020603050405020304" pitchFamily="18" charset="0"/>
            </a:rPr>
            <a:t>Отложенное определение таможенной стоимости по методу 1</a:t>
          </a:r>
        </a:p>
      </dgm:t>
    </dgm:pt>
    <dgm:pt modelId="{5CFAF37E-B2FE-4BB6-A202-D460BE886AEE}" type="parTrans" cxnId="{BBF41650-DE1E-4BF3-ADEF-DA89E7644E0D}">
      <dgm:prSet/>
      <dgm:spPr/>
      <dgm:t>
        <a:bodyPr/>
        <a:lstStyle/>
        <a:p>
          <a:endParaRPr lang="ru-RU" sz="1200">
            <a:latin typeface="Times New Roman" panose="02020603050405020304" pitchFamily="18" charset="0"/>
            <a:cs typeface="Times New Roman" panose="02020603050405020304" pitchFamily="18" charset="0"/>
          </a:endParaRPr>
        </a:p>
      </dgm:t>
    </dgm:pt>
    <dgm:pt modelId="{95FBA9AE-14E8-4386-9CCA-3EDF5185A798}" type="sibTrans" cxnId="{BBF41650-DE1E-4BF3-ADEF-DA89E7644E0D}">
      <dgm:prSet/>
      <dgm:spPr/>
      <dgm:t>
        <a:bodyPr/>
        <a:lstStyle/>
        <a:p>
          <a:endParaRPr lang="ru-RU" sz="1200">
            <a:latin typeface="Times New Roman" panose="02020603050405020304" pitchFamily="18" charset="0"/>
            <a:cs typeface="Times New Roman" panose="02020603050405020304" pitchFamily="18" charset="0"/>
          </a:endParaRPr>
        </a:p>
      </dgm:t>
    </dgm:pt>
    <dgm:pt modelId="{9FA12556-1545-460C-A400-FA0EE1A18C55}">
      <dgm:prSet phldrT="[Текст]" custT="1"/>
      <dgm:spPr/>
      <dgm:t>
        <a:bodyPr/>
        <a:lstStyle/>
        <a:p>
          <a:r>
            <a:rPr lang="ru-RU" sz="1200">
              <a:latin typeface="Times New Roman" panose="02020603050405020304" pitchFamily="18" charset="0"/>
              <a:cs typeface="Times New Roman" panose="02020603050405020304" pitchFamily="18" charset="0"/>
            </a:rPr>
            <a:t>Биржевой товар</a:t>
          </a:r>
        </a:p>
      </dgm:t>
    </dgm:pt>
    <dgm:pt modelId="{67CC566A-77FF-41FF-8B4A-563AA78B6AF0}" type="parTrans" cxnId="{6F76B398-DE7F-4491-8E27-FEC95DB0E961}">
      <dgm:prSet custT="1"/>
      <dgm:spPr/>
      <dgm:t>
        <a:bodyPr/>
        <a:lstStyle/>
        <a:p>
          <a:endParaRPr lang="ru-RU" sz="1200">
            <a:latin typeface="Times New Roman" panose="02020603050405020304" pitchFamily="18" charset="0"/>
            <a:cs typeface="Times New Roman" panose="02020603050405020304" pitchFamily="18" charset="0"/>
          </a:endParaRPr>
        </a:p>
      </dgm:t>
    </dgm:pt>
    <dgm:pt modelId="{7B83072C-F1E5-4622-A78E-5A9A76012E71}" type="sibTrans" cxnId="{6F76B398-DE7F-4491-8E27-FEC95DB0E961}">
      <dgm:prSet/>
      <dgm:spPr/>
      <dgm:t>
        <a:bodyPr/>
        <a:lstStyle/>
        <a:p>
          <a:endParaRPr lang="ru-RU" sz="1200">
            <a:latin typeface="Times New Roman" panose="02020603050405020304" pitchFamily="18" charset="0"/>
            <a:cs typeface="Times New Roman" panose="02020603050405020304" pitchFamily="18" charset="0"/>
          </a:endParaRPr>
        </a:p>
      </dgm:t>
    </dgm:pt>
    <dgm:pt modelId="{59B4A411-81F6-40E6-A2E4-E28F733FC945}">
      <dgm:prSet phldrT="[Текст]" custT="1"/>
      <dgm:spPr/>
      <dgm:t>
        <a:bodyPr/>
        <a:lstStyle/>
        <a:p>
          <a:r>
            <a:rPr lang="ru-RU" sz="1200">
              <a:latin typeface="Times New Roman" panose="02020603050405020304" pitchFamily="18" charset="0"/>
              <a:cs typeface="Times New Roman" panose="02020603050405020304" pitchFamily="18" charset="0"/>
            </a:rPr>
            <a:t>Биржевая сделка</a:t>
          </a:r>
        </a:p>
      </dgm:t>
    </dgm:pt>
    <dgm:pt modelId="{03A8219E-BCBB-4404-8084-47489C6E1293}" type="parTrans" cxnId="{125058D5-9F7D-4966-B3F7-FAF486E2BD02}">
      <dgm:prSet custT="1"/>
      <dgm:spPr/>
      <dgm:t>
        <a:bodyPr/>
        <a:lstStyle/>
        <a:p>
          <a:endParaRPr lang="ru-RU" sz="1200">
            <a:latin typeface="Times New Roman" panose="02020603050405020304" pitchFamily="18" charset="0"/>
            <a:cs typeface="Times New Roman" panose="02020603050405020304" pitchFamily="18" charset="0"/>
          </a:endParaRPr>
        </a:p>
      </dgm:t>
    </dgm:pt>
    <dgm:pt modelId="{96C08A8E-3F96-49CC-83B8-25173B979BCE}" type="sibTrans" cxnId="{125058D5-9F7D-4966-B3F7-FAF486E2BD02}">
      <dgm:prSet/>
      <dgm:spPr/>
      <dgm:t>
        <a:bodyPr/>
        <a:lstStyle/>
        <a:p>
          <a:endParaRPr lang="ru-RU" sz="1200">
            <a:latin typeface="Times New Roman" panose="02020603050405020304" pitchFamily="18" charset="0"/>
            <a:cs typeface="Times New Roman" panose="02020603050405020304" pitchFamily="18" charset="0"/>
          </a:endParaRPr>
        </a:p>
      </dgm:t>
    </dgm:pt>
    <dgm:pt modelId="{4B764C4A-7DD7-467F-A086-CCF6C6FEF8E3}">
      <dgm:prSet phldrT="[Текст]" custT="1"/>
      <dgm:spPr/>
      <dgm:t>
        <a:bodyPr/>
        <a:lstStyle/>
        <a:p>
          <a:r>
            <a:rPr lang="ru-RU" sz="1200">
              <a:latin typeface="Times New Roman" panose="02020603050405020304" pitchFamily="18" charset="0"/>
              <a:cs typeface="Times New Roman" panose="02020603050405020304" pitchFamily="18" charset="0"/>
            </a:rPr>
            <a:t>Биржевая цена</a:t>
          </a:r>
        </a:p>
      </dgm:t>
    </dgm:pt>
    <dgm:pt modelId="{50C6F16F-8C7E-439B-A669-7A33BD0B8B13}" type="parTrans" cxnId="{1E2628F3-EC22-4498-A067-5D3C2A5A7A93}">
      <dgm:prSet custT="1"/>
      <dgm:spPr/>
      <dgm:t>
        <a:bodyPr/>
        <a:lstStyle/>
        <a:p>
          <a:endParaRPr lang="ru-RU" sz="1200"/>
        </a:p>
      </dgm:t>
    </dgm:pt>
    <dgm:pt modelId="{321BC871-4DD9-41A0-BCF2-A8F73DC8C077}" type="sibTrans" cxnId="{1E2628F3-EC22-4498-A067-5D3C2A5A7A93}">
      <dgm:prSet/>
      <dgm:spPr/>
      <dgm:t>
        <a:bodyPr/>
        <a:lstStyle/>
        <a:p>
          <a:endParaRPr lang="ru-RU" sz="1200"/>
        </a:p>
      </dgm:t>
    </dgm:pt>
    <dgm:pt modelId="{0FE0FBD8-D819-4FDD-AE1E-AD9A991D3B93}" type="pres">
      <dgm:prSet presAssocID="{BC364443-5AC9-49A4-B04C-F7A843715A22}" presName="Name0" presStyleCnt="0">
        <dgm:presLayoutVars>
          <dgm:chPref val="1"/>
          <dgm:dir/>
          <dgm:animOne val="branch"/>
          <dgm:animLvl val="lvl"/>
          <dgm:resizeHandles val="exact"/>
        </dgm:presLayoutVars>
      </dgm:prSet>
      <dgm:spPr/>
    </dgm:pt>
    <dgm:pt modelId="{5347FAB5-7E7B-4014-B0E0-8AD6F39C5A26}" type="pres">
      <dgm:prSet presAssocID="{FB39E21B-0558-4C09-A51D-40D974EE2DB6}" presName="root1" presStyleCnt="0"/>
      <dgm:spPr/>
    </dgm:pt>
    <dgm:pt modelId="{A2382666-A06D-4A0D-80F2-99C9B37C54DB}" type="pres">
      <dgm:prSet presAssocID="{FB39E21B-0558-4C09-A51D-40D974EE2DB6}" presName="LevelOneTextNode" presStyleLbl="node0" presStyleIdx="0" presStyleCnt="1">
        <dgm:presLayoutVars>
          <dgm:chPref val="3"/>
        </dgm:presLayoutVars>
      </dgm:prSet>
      <dgm:spPr/>
    </dgm:pt>
    <dgm:pt modelId="{B89564E1-A0B7-42F9-B375-7E1E88F73298}" type="pres">
      <dgm:prSet presAssocID="{FB39E21B-0558-4C09-A51D-40D974EE2DB6}" presName="level2hierChild" presStyleCnt="0"/>
      <dgm:spPr/>
    </dgm:pt>
    <dgm:pt modelId="{2D3ECB04-60B7-4534-AF32-A0DB97C5412E}" type="pres">
      <dgm:prSet presAssocID="{67CC566A-77FF-41FF-8B4A-563AA78B6AF0}" presName="conn2-1" presStyleLbl="parChTrans1D2" presStyleIdx="0" presStyleCnt="3"/>
      <dgm:spPr/>
    </dgm:pt>
    <dgm:pt modelId="{B88B559A-3D9D-4CBD-8A79-F4A36216BC1B}" type="pres">
      <dgm:prSet presAssocID="{67CC566A-77FF-41FF-8B4A-563AA78B6AF0}" presName="connTx" presStyleLbl="parChTrans1D2" presStyleIdx="0" presStyleCnt="3"/>
      <dgm:spPr/>
    </dgm:pt>
    <dgm:pt modelId="{75AAF79D-0F11-400D-A6B7-1DB30852DC15}" type="pres">
      <dgm:prSet presAssocID="{9FA12556-1545-460C-A400-FA0EE1A18C55}" presName="root2" presStyleCnt="0"/>
      <dgm:spPr/>
    </dgm:pt>
    <dgm:pt modelId="{12FEF218-7933-4020-919E-85431EAA34F2}" type="pres">
      <dgm:prSet presAssocID="{9FA12556-1545-460C-A400-FA0EE1A18C55}" presName="LevelTwoTextNode" presStyleLbl="node2" presStyleIdx="0" presStyleCnt="3">
        <dgm:presLayoutVars>
          <dgm:chPref val="3"/>
        </dgm:presLayoutVars>
      </dgm:prSet>
      <dgm:spPr/>
    </dgm:pt>
    <dgm:pt modelId="{25E564B4-7FB1-4E8B-89D0-7B6E29F46F74}" type="pres">
      <dgm:prSet presAssocID="{9FA12556-1545-460C-A400-FA0EE1A18C55}" presName="level3hierChild" presStyleCnt="0"/>
      <dgm:spPr/>
    </dgm:pt>
    <dgm:pt modelId="{5DB6B597-E921-42E8-AE5F-CAD34E6B5E4E}" type="pres">
      <dgm:prSet presAssocID="{03A8219E-BCBB-4404-8084-47489C6E1293}" presName="conn2-1" presStyleLbl="parChTrans1D2" presStyleIdx="1" presStyleCnt="3"/>
      <dgm:spPr/>
    </dgm:pt>
    <dgm:pt modelId="{4A87E69C-024E-4DFC-9B65-AE54A5CC2EDB}" type="pres">
      <dgm:prSet presAssocID="{03A8219E-BCBB-4404-8084-47489C6E1293}" presName="connTx" presStyleLbl="parChTrans1D2" presStyleIdx="1" presStyleCnt="3"/>
      <dgm:spPr/>
    </dgm:pt>
    <dgm:pt modelId="{44759234-DA45-4F68-9794-444B7AB965F6}" type="pres">
      <dgm:prSet presAssocID="{59B4A411-81F6-40E6-A2E4-E28F733FC945}" presName="root2" presStyleCnt="0"/>
      <dgm:spPr/>
    </dgm:pt>
    <dgm:pt modelId="{DDA3BA3C-A3FD-4A3E-9939-5BB1B2E19280}" type="pres">
      <dgm:prSet presAssocID="{59B4A411-81F6-40E6-A2E4-E28F733FC945}" presName="LevelTwoTextNode" presStyleLbl="node2" presStyleIdx="1" presStyleCnt="3">
        <dgm:presLayoutVars>
          <dgm:chPref val="3"/>
        </dgm:presLayoutVars>
      </dgm:prSet>
      <dgm:spPr/>
    </dgm:pt>
    <dgm:pt modelId="{F5EFCAD8-106C-48A7-8975-25F86549B3C0}" type="pres">
      <dgm:prSet presAssocID="{59B4A411-81F6-40E6-A2E4-E28F733FC945}" presName="level3hierChild" presStyleCnt="0"/>
      <dgm:spPr/>
    </dgm:pt>
    <dgm:pt modelId="{630711F2-1B40-4653-93DF-406A03B9D7A5}" type="pres">
      <dgm:prSet presAssocID="{50C6F16F-8C7E-439B-A669-7A33BD0B8B13}" presName="conn2-1" presStyleLbl="parChTrans1D2" presStyleIdx="2" presStyleCnt="3"/>
      <dgm:spPr/>
    </dgm:pt>
    <dgm:pt modelId="{33E904F8-CB6A-4A2C-A4B2-20F08AE9C97D}" type="pres">
      <dgm:prSet presAssocID="{50C6F16F-8C7E-439B-A669-7A33BD0B8B13}" presName="connTx" presStyleLbl="parChTrans1D2" presStyleIdx="2" presStyleCnt="3"/>
      <dgm:spPr/>
    </dgm:pt>
    <dgm:pt modelId="{6014C9C2-153D-4D03-87C1-99A963317181}" type="pres">
      <dgm:prSet presAssocID="{4B764C4A-7DD7-467F-A086-CCF6C6FEF8E3}" presName="root2" presStyleCnt="0"/>
      <dgm:spPr/>
    </dgm:pt>
    <dgm:pt modelId="{0EE71C13-164F-4E0B-80E9-FB4BF4C1E33D}" type="pres">
      <dgm:prSet presAssocID="{4B764C4A-7DD7-467F-A086-CCF6C6FEF8E3}" presName="LevelTwoTextNode" presStyleLbl="node2" presStyleIdx="2" presStyleCnt="3">
        <dgm:presLayoutVars>
          <dgm:chPref val="3"/>
        </dgm:presLayoutVars>
      </dgm:prSet>
      <dgm:spPr/>
    </dgm:pt>
    <dgm:pt modelId="{10638DDB-B8FF-468C-ACF2-60498489BDBB}" type="pres">
      <dgm:prSet presAssocID="{4B764C4A-7DD7-467F-A086-CCF6C6FEF8E3}" presName="level3hierChild" presStyleCnt="0"/>
      <dgm:spPr/>
    </dgm:pt>
  </dgm:ptLst>
  <dgm:cxnLst>
    <dgm:cxn modelId="{39FB6C28-25CF-4758-B1F6-4A8DAC2AC078}" type="presOf" srcId="{50C6F16F-8C7E-439B-A669-7A33BD0B8B13}" destId="{33E904F8-CB6A-4A2C-A4B2-20F08AE9C97D}" srcOrd="1" destOrd="0" presId="urn:microsoft.com/office/officeart/2008/layout/HorizontalMultiLevelHierarchy"/>
    <dgm:cxn modelId="{B66B5732-9DB4-425B-A1DF-EA4F1DB7AC5D}" type="presOf" srcId="{03A8219E-BCBB-4404-8084-47489C6E1293}" destId="{5DB6B597-E921-42E8-AE5F-CAD34E6B5E4E}" srcOrd="0" destOrd="0" presId="urn:microsoft.com/office/officeart/2008/layout/HorizontalMultiLevelHierarchy"/>
    <dgm:cxn modelId="{AB3DD037-3404-4502-A3B3-498EBA167CC1}" type="presOf" srcId="{03A8219E-BCBB-4404-8084-47489C6E1293}" destId="{4A87E69C-024E-4DFC-9B65-AE54A5CC2EDB}" srcOrd="1" destOrd="0" presId="urn:microsoft.com/office/officeart/2008/layout/HorizontalMultiLevelHierarchy"/>
    <dgm:cxn modelId="{BBF41650-DE1E-4BF3-ADEF-DA89E7644E0D}" srcId="{BC364443-5AC9-49A4-B04C-F7A843715A22}" destId="{FB39E21B-0558-4C09-A51D-40D974EE2DB6}" srcOrd="0" destOrd="0" parTransId="{5CFAF37E-B2FE-4BB6-A202-D460BE886AEE}" sibTransId="{95FBA9AE-14E8-4386-9CCA-3EDF5185A798}"/>
    <dgm:cxn modelId="{965C2063-4210-49CA-9620-77438A7F6B3D}" type="presOf" srcId="{BC364443-5AC9-49A4-B04C-F7A843715A22}" destId="{0FE0FBD8-D819-4FDD-AE1E-AD9A991D3B93}" srcOrd="0" destOrd="0" presId="urn:microsoft.com/office/officeart/2008/layout/HorizontalMultiLevelHierarchy"/>
    <dgm:cxn modelId="{897C9E80-9B3D-4678-A0C2-8CCADA53D6D4}" type="presOf" srcId="{59B4A411-81F6-40E6-A2E4-E28F733FC945}" destId="{DDA3BA3C-A3FD-4A3E-9939-5BB1B2E19280}" srcOrd="0" destOrd="0" presId="urn:microsoft.com/office/officeart/2008/layout/HorizontalMultiLevelHierarchy"/>
    <dgm:cxn modelId="{4C99C885-3555-4D76-8F13-EEB47AAB5BD3}" type="presOf" srcId="{4B764C4A-7DD7-467F-A086-CCF6C6FEF8E3}" destId="{0EE71C13-164F-4E0B-80E9-FB4BF4C1E33D}" srcOrd="0" destOrd="0" presId="urn:microsoft.com/office/officeart/2008/layout/HorizontalMultiLevelHierarchy"/>
    <dgm:cxn modelId="{B8397497-8771-4FF1-B24E-09545261AE02}" type="presOf" srcId="{50C6F16F-8C7E-439B-A669-7A33BD0B8B13}" destId="{630711F2-1B40-4653-93DF-406A03B9D7A5}" srcOrd="0" destOrd="0" presId="urn:microsoft.com/office/officeart/2008/layout/HorizontalMultiLevelHierarchy"/>
    <dgm:cxn modelId="{6F76B398-DE7F-4491-8E27-FEC95DB0E961}" srcId="{FB39E21B-0558-4C09-A51D-40D974EE2DB6}" destId="{9FA12556-1545-460C-A400-FA0EE1A18C55}" srcOrd="0" destOrd="0" parTransId="{67CC566A-77FF-41FF-8B4A-563AA78B6AF0}" sibTransId="{7B83072C-F1E5-4622-A78E-5A9A76012E71}"/>
    <dgm:cxn modelId="{9A47BD9B-C637-438F-8EB3-1997184D62C1}" type="presOf" srcId="{67CC566A-77FF-41FF-8B4A-563AA78B6AF0}" destId="{B88B559A-3D9D-4CBD-8A79-F4A36216BC1B}" srcOrd="1" destOrd="0" presId="urn:microsoft.com/office/officeart/2008/layout/HorizontalMultiLevelHierarchy"/>
    <dgm:cxn modelId="{CCA96AD4-6BDA-492E-8875-D75FC73601A3}" type="presOf" srcId="{9FA12556-1545-460C-A400-FA0EE1A18C55}" destId="{12FEF218-7933-4020-919E-85431EAA34F2}" srcOrd="0" destOrd="0" presId="urn:microsoft.com/office/officeart/2008/layout/HorizontalMultiLevelHierarchy"/>
    <dgm:cxn modelId="{125058D5-9F7D-4966-B3F7-FAF486E2BD02}" srcId="{FB39E21B-0558-4C09-A51D-40D974EE2DB6}" destId="{59B4A411-81F6-40E6-A2E4-E28F733FC945}" srcOrd="1" destOrd="0" parTransId="{03A8219E-BCBB-4404-8084-47489C6E1293}" sibTransId="{96C08A8E-3F96-49CC-83B8-25173B979BCE}"/>
    <dgm:cxn modelId="{178F71D8-6422-4580-A833-C061CECE744D}" type="presOf" srcId="{FB39E21B-0558-4C09-A51D-40D974EE2DB6}" destId="{A2382666-A06D-4A0D-80F2-99C9B37C54DB}" srcOrd="0" destOrd="0" presId="urn:microsoft.com/office/officeart/2008/layout/HorizontalMultiLevelHierarchy"/>
    <dgm:cxn modelId="{1E2628F3-EC22-4498-A067-5D3C2A5A7A93}" srcId="{FB39E21B-0558-4C09-A51D-40D974EE2DB6}" destId="{4B764C4A-7DD7-467F-A086-CCF6C6FEF8E3}" srcOrd="2" destOrd="0" parTransId="{50C6F16F-8C7E-439B-A669-7A33BD0B8B13}" sibTransId="{321BC871-4DD9-41A0-BCF2-A8F73DC8C077}"/>
    <dgm:cxn modelId="{696050F3-D735-4030-BD26-84598FD6F97A}" type="presOf" srcId="{67CC566A-77FF-41FF-8B4A-563AA78B6AF0}" destId="{2D3ECB04-60B7-4534-AF32-A0DB97C5412E}" srcOrd="0" destOrd="0" presId="urn:microsoft.com/office/officeart/2008/layout/HorizontalMultiLevelHierarchy"/>
    <dgm:cxn modelId="{D540D097-F07C-4C40-A091-8573CDC0DA64}" type="presParOf" srcId="{0FE0FBD8-D819-4FDD-AE1E-AD9A991D3B93}" destId="{5347FAB5-7E7B-4014-B0E0-8AD6F39C5A26}" srcOrd="0" destOrd="0" presId="urn:microsoft.com/office/officeart/2008/layout/HorizontalMultiLevelHierarchy"/>
    <dgm:cxn modelId="{7D6E0922-C24E-405A-BDF4-35F6881E89A2}" type="presParOf" srcId="{5347FAB5-7E7B-4014-B0E0-8AD6F39C5A26}" destId="{A2382666-A06D-4A0D-80F2-99C9B37C54DB}" srcOrd="0" destOrd="0" presId="urn:microsoft.com/office/officeart/2008/layout/HorizontalMultiLevelHierarchy"/>
    <dgm:cxn modelId="{8A87F2EE-684D-4B53-AAAD-745820ECEB28}" type="presParOf" srcId="{5347FAB5-7E7B-4014-B0E0-8AD6F39C5A26}" destId="{B89564E1-A0B7-42F9-B375-7E1E88F73298}" srcOrd="1" destOrd="0" presId="urn:microsoft.com/office/officeart/2008/layout/HorizontalMultiLevelHierarchy"/>
    <dgm:cxn modelId="{481282D9-A41B-4C7F-A351-B1F31D235F7F}" type="presParOf" srcId="{B89564E1-A0B7-42F9-B375-7E1E88F73298}" destId="{2D3ECB04-60B7-4534-AF32-A0DB97C5412E}" srcOrd="0" destOrd="0" presId="urn:microsoft.com/office/officeart/2008/layout/HorizontalMultiLevelHierarchy"/>
    <dgm:cxn modelId="{2E005E98-31DF-4250-9B38-309A2DC92B18}" type="presParOf" srcId="{2D3ECB04-60B7-4534-AF32-A0DB97C5412E}" destId="{B88B559A-3D9D-4CBD-8A79-F4A36216BC1B}" srcOrd="0" destOrd="0" presId="urn:microsoft.com/office/officeart/2008/layout/HorizontalMultiLevelHierarchy"/>
    <dgm:cxn modelId="{EB9DE966-ED92-4555-AA2D-BB01CE00B3D8}" type="presParOf" srcId="{B89564E1-A0B7-42F9-B375-7E1E88F73298}" destId="{75AAF79D-0F11-400D-A6B7-1DB30852DC15}" srcOrd="1" destOrd="0" presId="urn:microsoft.com/office/officeart/2008/layout/HorizontalMultiLevelHierarchy"/>
    <dgm:cxn modelId="{0E88E8FB-4566-4F49-A476-EFD5FBFE99CA}" type="presParOf" srcId="{75AAF79D-0F11-400D-A6B7-1DB30852DC15}" destId="{12FEF218-7933-4020-919E-85431EAA34F2}" srcOrd="0" destOrd="0" presId="urn:microsoft.com/office/officeart/2008/layout/HorizontalMultiLevelHierarchy"/>
    <dgm:cxn modelId="{E29828AC-8F04-492D-A085-377FEA095ACD}" type="presParOf" srcId="{75AAF79D-0F11-400D-A6B7-1DB30852DC15}" destId="{25E564B4-7FB1-4E8B-89D0-7B6E29F46F74}" srcOrd="1" destOrd="0" presId="urn:microsoft.com/office/officeart/2008/layout/HorizontalMultiLevelHierarchy"/>
    <dgm:cxn modelId="{AA5C65FD-E019-4ACC-B968-B8CE87C7F716}" type="presParOf" srcId="{B89564E1-A0B7-42F9-B375-7E1E88F73298}" destId="{5DB6B597-E921-42E8-AE5F-CAD34E6B5E4E}" srcOrd="2" destOrd="0" presId="urn:microsoft.com/office/officeart/2008/layout/HorizontalMultiLevelHierarchy"/>
    <dgm:cxn modelId="{F8DD44B8-5F3E-4C4F-8474-08508B5CE4D5}" type="presParOf" srcId="{5DB6B597-E921-42E8-AE5F-CAD34E6B5E4E}" destId="{4A87E69C-024E-4DFC-9B65-AE54A5CC2EDB}" srcOrd="0" destOrd="0" presId="urn:microsoft.com/office/officeart/2008/layout/HorizontalMultiLevelHierarchy"/>
    <dgm:cxn modelId="{5D620024-0ACF-4B4D-82AE-E969CB4BC2AB}" type="presParOf" srcId="{B89564E1-A0B7-42F9-B375-7E1E88F73298}" destId="{44759234-DA45-4F68-9794-444B7AB965F6}" srcOrd="3" destOrd="0" presId="urn:microsoft.com/office/officeart/2008/layout/HorizontalMultiLevelHierarchy"/>
    <dgm:cxn modelId="{66013D70-A667-4F2F-B2FF-168DB20567C2}" type="presParOf" srcId="{44759234-DA45-4F68-9794-444B7AB965F6}" destId="{DDA3BA3C-A3FD-4A3E-9939-5BB1B2E19280}" srcOrd="0" destOrd="0" presId="urn:microsoft.com/office/officeart/2008/layout/HorizontalMultiLevelHierarchy"/>
    <dgm:cxn modelId="{172604DE-EBBB-497D-898F-7D6A64150081}" type="presParOf" srcId="{44759234-DA45-4F68-9794-444B7AB965F6}" destId="{F5EFCAD8-106C-48A7-8975-25F86549B3C0}" srcOrd="1" destOrd="0" presId="urn:microsoft.com/office/officeart/2008/layout/HorizontalMultiLevelHierarchy"/>
    <dgm:cxn modelId="{FCC5BD87-1828-4982-A612-DAE6FDB43C48}" type="presParOf" srcId="{B89564E1-A0B7-42F9-B375-7E1E88F73298}" destId="{630711F2-1B40-4653-93DF-406A03B9D7A5}" srcOrd="4" destOrd="0" presId="urn:microsoft.com/office/officeart/2008/layout/HorizontalMultiLevelHierarchy"/>
    <dgm:cxn modelId="{6041B5CA-03E7-4D93-84A3-9B7AF62D0E0A}" type="presParOf" srcId="{630711F2-1B40-4653-93DF-406A03B9D7A5}" destId="{33E904F8-CB6A-4A2C-A4B2-20F08AE9C97D}" srcOrd="0" destOrd="0" presId="urn:microsoft.com/office/officeart/2008/layout/HorizontalMultiLevelHierarchy"/>
    <dgm:cxn modelId="{D7FD80DA-1644-4ACC-B003-2591B2DD0FD4}" type="presParOf" srcId="{B89564E1-A0B7-42F9-B375-7E1E88F73298}" destId="{6014C9C2-153D-4D03-87C1-99A963317181}" srcOrd="5" destOrd="0" presId="urn:microsoft.com/office/officeart/2008/layout/HorizontalMultiLevelHierarchy"/>
    <dgm:cxn modelId="{8044F31B-DC30-4BF5-89A2-469F29AD6574}" type="presParOf" srcId="{6014C9C2-153D-4D03-87C1-99A963317181}" destId="{0EE71C13-164F-4E0B-80E9-FB4BF4C1E33D}" srcOrd="0" destOrd="0" presId="urn:microsoft.com/office/officeart/2008/layout/HorizontalMultiLevelHierarchy"/>
    <dgm:cxn modelId="{21FE2D5A-E86C-4F95-BBA8-D903E9F63D96}" type="presParOf" srcId="{6014C9C2-153D-4D03-87C1-99A963317181}" destId="{10638DDB-B8FF-468C-ACF2-60498489BDBB}" srcOrd="1" destOrd="0" presId="urn:microsoft.com/office/officeart/2008/layout/HorizontalMultiLevelHierarchy"/>
  </dgm:cxnLst>
  <dgm:bg/>
  <dgm:whole/>
  <dgm:extLst>
    <a:ext uri="http://schemas.microsoft.com/office/drawing/2008/diagram">
      <dsp:dataModelExt xmlns:dsp="http://schemas.microsoft.com/office/drawing/2008/diagram" relId="rId48"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4A9A906B-FF90-4883-8B88-17071C834558}">
      <dsp:nvSpPr>
        <dsp:cNvPr id="0" name=""/>
        <dsp:cNvSpPr/>
      </dsp:nvSpPr>
      <dsp:spPr>
        <a:xfrm>
          <a:off x="2564056" y="853480"/>
          <a:ext cx="179143" cy="784819"/>
        </a:xfrm>
        <a:custGeom>
          <a:avLst/>
          <a:gdLst/>
          <a:ahLst/>
          <a:cxnLst/>
          <a:rect l="0" t="0" r="0" b="0"/>
          <a:pathLst>
            <a:path>
              <a:moveTo>
                <a:pt x="174924" y="0"/>
              </a:moveTo>
              <a:lnTo>
                <a:pt x="174924" y="766334"/>
              </a:lnTo>
              <a:lnTo>
                <a:pt x="0" y="766334"/>
              </a:lnTo>
            </a:path>
          </a:pathLst>
        </a:custGeom>
        <a:noFill/>
        <a:ln w="12700" cap="flat" cmpd="sng" algn="ctr">
          <a:solidFill>
            <a:srgbClr val="A5A5A5">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48C09DD-2953-486F-9E68-9523ECB6C1EF}">
      <dsp:nvSpPr>
        <dsp:cNvPr id="0" name=""/>
        <dsp:cNvSpPr/>
      </dsp:nvSpPr>
      <dsp:spPr>
        <a:xfrm>
          <a:off x="2743200" y="853480"/>
          <a:ext cx="1032207" cy="1569638"/>
        </a:xfrm>
        <a:custGeom>
          <a:avLst/>
          <a:gdLst/>
          <a:ahLst/>
          <a:cxnLst/>
          <a:rect l="0" t="0" r="0" b="0"/>
          <a:pathLst>
            <a:path>
              <a:moveTo>
                <a:pt x="0" y="0"/>
              </a:moveTo>
              <a:lnTo>
                <a:pt x="0" y="1357745"/>
              </a:lnTo>
              <a:lnTo>
                <a:pt x="1007896" y="1357745"/>
              </a:lnTo>
              <a:lnTo>
                <a:pt x="1007896" y="1532669"/>
              </a:lnTo>
            </a:path>
          </a:pathLst>
        </a:custGeom>
        <a:noFill/>
        <a:ln w="6350" cap="flat" cmpd="sng" algn="ctr">
          <a:solidFill>
            <a:sysClr val="windowText" lastClr="000000"/>
          </a:solidFill>
          <a:prstDash val="solid"/>
          <a:miter lim="800000"/>
        </a:ln>
        <a:effectLst/>
      </dsp:spPr>
      <dsp:style>
        <a:lnRef idx="1">
          <a:schemeClr val="dk1"/>
        </a:lnRef>
        <a:fillRef idx="0">
          <a:schemeClr val="dk1"/>
        </a:fillRef>
        <a:effectRef idx="0">
          <a:schemeClr val="dk1"/>
        </a:effectRef>
        <a:fontRef idx="minor">
          <a:schemeClr val="tx1"/>
        </a:fontRef>
      </dsp:style>
    </dsp:sp>
    <dsp:sp modelId="{3432B161-6040-4D3A-AE4D-A4DE73DB5D67}">
      <dsp:nvSpPr>
        <dsp:cNvPr id="0" name=""/>
        <dsp:cNvSpPr/>
      </dsp:nvSpPr>
      <dsp:spPr>
        <a:xfrm>
          <a:off x="1710992" y="853480"/>
          <a:ext cx="1032207" cy="1569638"/>
        </a:xfrm>
        <a:custGeom>
          <a:avLst/>
          <a:gdLst/>
          <a:ahLst/>
          <a:cxnLst/>
          <a:rect l="0" t="0" r="0" b="0"/>
          <a:pathLst>
            <a:path>
              <a:moveTo>
                <a:pt x="1007896" y="0"/>
              </a:moveTo>
              <a:lnTo>
                <a:pt x="1007896" y="1357745"/>
              </a:lnTo>
              <a:lnTo>
                <a:pt x="0" y="1357745"/>
              </a:lnTo>
              <a:lnTo>
                <a:pt x="0" y="1532669"/>
              </a:lnTo>
            </a:path>
          </a:pathLst>
        </a:custGeom>
        <a:noFill/>
        <a:ln w="6350" cap="flat" cmpd="sng" algn="ctr">
          <a:solidFill>
            <a:sysClr val="windowText" lastClr="000000"/>
          </a:solidFill>
          <a:prstDash val="solid"/>
          <a:miter lim="800000"/>
        </a:ln>
        <a:effectLst/>
      </dsp:spPr>
      <dsp:style>
        <a:lnRef idx="1">
          <a:schemeClr val="dk1"/>
        </a:lnRef>
        <a:fillRef idx="0">
          <a:schemeClr val="dk1"/>
        </a:fillRef>
        <a:effectRef idx="0">
          <a:schemeClr val="dk1"/>
        </a:effectRef>
        <a:fontRef idx="minor">
          <a:schemeClr val="tx1"/>
        </a:fontRef>
      </dsp:style>
    </dsp:sp>
    <dsp:sp modelId="{BD01831D-600C-41BB-9A97-7D5DE89F01A1}">
      <dsp:nvSpPr>
        <dsp:cNvPr id="0" name=""/>
        <dsp:cNvSpPr/>
      </dsp:nvSpPr>
      <dsp:spPr>
        <a:xfrm>
          <a:off x="1890135" y="416"/>
          <a:ext cx="1706128" cy="853064"/>
        </a:xfrm>
        <a:prstGeom prst="rect">
          <a:avLst/>
        </a:prstGeom>
        <a:solidFill>
          <a:sysClr val="window" lastClr="FFFFFF"/>
        </a:solidFill>
        <a:ln w="12700" cap="flat" cmpd="sng" algn="ctr">
          <a:solidFill>
            <a:sysClr val="windowText" lastClr="000000"/>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8890" tIns="8890" rIns="8890" bIns="8890" numCol="1" spcCol="1270" anchor="ctr" anchorCtr="0">
          <a:noAutofit/>
        </a:bodyPr>
        <a:lstStyle/>
        <a:p>
          <a:pPr marL="0" lvl="0" indent="0" algn="ctr" defTabSz="622300">
            <a:lnSpc>
              <a:spcPct val="100000"/>
            </a:lnSpc>
            <a:spcBef>
              <a:spcPct val="0"/>
            </a:spcBef>
            <a:spcAft>
              <a:spcPts val="0"/>
            </a:spcAft>
            <a:buNone/>
          </a:pPr>
          <a:r>
            <a:rPr lang="ru-RU" sz="14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Функции таможенной стоимости </a:t>
          </a:r>
        </a:p>
      </dsp:txBody>
      <dsp:txXfrm>
        <a:off x="1890135" y="416"/>
        <a:ext cx="1706128" cy="853064"/>
      </dsp:txXfrm>
    </dsp:sp>
    <dsp:sp modelId="{CF3DC4B3-0A4F-4522-9C05-CB799A667767}">
      <dsp:nvSpPr>
        <dsp:cNvPr id="0" name=""/>
        <dsp:cNvSpPr/>
      </dsp:nvSpPr>
      <dsp:spPr>
        <a:xfrm>
          <a:off x="857928" y="2423119"/>
          <a:ext cx="1706128" cy="853064"/>
        </a:xfrm>
        <a:prstGeom prst="rect">
          <a:avLst/>
        </a:prstGeom>
        <a:solidFill>
          <a:sysClr val="window" lastClr="FFFFFF"/>
        </a:solidFill>
        <a:ln w="12700" cap="flat" cmpd="sng" algn="ctr">
          <a:solidFill>
            <a:sysClr val="windowText" lastClr="000000"/>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Применение для целей таможенной статистики внешней торговли</a:t>
          </a:r>
        </a:p>
      </dsp:txBody>
      <dsp:txXfrm>
        <a:off x="857928" y="2423119"/>
        <a:ext cx="1706128" cy="853064"/>
      </dsp:txXfrm>
    </dsp:sp>
    <dsp:sp modelId="{9A33C288-946E-4766-80E9-846515235196}">
      <dsp:nvSpPr>
        <dsp:cNvPr id="0" name=""/>
        <dsp:cNvSpPr/>
      </dsp:nvSpPr>
      <dsp:spPr>
        <a:xfrm>
          <a:off x="2922343" y="2423119"/>
          <a:ext cx="1706128" cy="853064"/>
        </a:xfrm>
        <a:prstGeom prst="rect">
          <a:avLst/>
        </a:prstGeom>
        <a:solidFill>
          <a:sysClr val="window" lastClr="FFFFFF"/>
        </a:solidFill>
        <a:ln w="12700" cap="flat" cmpd="sng" algn="ctr">
          <a:solidFill>
            <a:sysClr val="windowText" lastClr="000000"/>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Применяется для уелей использования мер нетарифного регулирования </a:t>
          </a:r>
        </a:p>
      </dsp:txBody>
      <dsp:txXfrm>
        <a:off x="2922343" y="2423119"/>
        <a:ext cx="1706128" cy="853064"/>
      </dsp:txXfrm>
    </dsp:sp>
    <dsp:sp modelId="{657042BE-4824-4A9A-A343-B585003857FE}">
      <dsp:nvSpPr>
        <dsp:cNvPr id="0" name=""/>
        <dsp:cNvSpPr/>
      </dsp:nvSpPr>
      <dsp:spPr>
        <a:xfrm>
          <a:off x="857928" y="1211767"/>
          <a:ext cx="1706128" cy="853064"/>
        </a:xfrm>
        <a:prstGeom prst="rect">
          <a:avLst/>
        </a:prstGeom>
        <a:solidFill>
          <a:sysClr val="window" lastClr="FFFFFF"/>
        </a:solidFill>
        <a:ln w="12700" cap="flat" cmpd="sng" algn="ctr">
          <a:solidFill>
            <a:sysClr val="windowText" lastClr="000000"/>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Обеспечение равных конкурентных условий для участников ВЭД на внутреннем рынке страны импорта</a:t>
          </a:r>
        </a:p>
      </dsp:txBody>
      <dsp:txXfrm>
        <a:off x="857928" y="1211767"/>
        <a:ext cx="1706128" cy="853064"/>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6C98437-E0F7-4B61-8BE6-D34DC54FC50B}">
      <dsp:nvSpPr>
        <dsp:cNvPr id="0" name=""/>
        <dsp:cNvSpPr/>
      </dsp:nvSpPr>
      <dsp:spPr>
        <a:xfrm>
          <a:off x="39067" y="577"/>
          <a:ext cx="2804385" cy="519615"/>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Методы определения таможенной стоимости при ввозе товаров на таможенную территорию ЕАЭС</a:t>
          </a:r>
        </a:p>
      </dsp:txBody>
      <dsp:txXfrm>
        <a:off x="54286" y="15796"/>
        <a:ext cx="2773947" cy="489177"/>
      </dsp:txXfrm>
    </dsp:sp>
    <dsp:sp modelId="{F5B6BB48-9C1E-4660-B44C-EF109B8ED438}">
      <dsp:nvSpPr>
        <dsp:cNvPr id="0" name=""/>
        <dsp:cNvSpPr/>
      </dsp:nvSpPr>
      <dsp:spPr>
        <a:xfrm rot="5400000">
          <a:off x="1395793" y="565659"/>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2D263D71-4774-4B94-99AA-328F73C1F905}">
      <dsp:nvSpPr>
        <dsp:cNvPr id="0" name=""/>
        <dsp:cNvSpPr/>
      </dsp:nvSpPr>
      <dsp:spPr>
        <a:xfrm>
          <a:off x="39067" y="702058"/>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 по стоимости сделки с ввозимыми товарами (метод 1)</a:t>
          </a:r>
        </a:p>
      </dsp:txBody>
      <dsp:txXfrm>
        <a:off x="54286" y="717277"/>
        <a:ext cx="2773947" cy="489177"/>
      </dsp:txXfrm>
    </dsp:sp>
    <dsp:sp modelId="{EB8C6677-08D4-4C9B-AF00-0EF8A867F0EC}">
      <dsp:nvSpPr>
        <dsp:cNvPr id="0" name=""/>
        <dsp:cNvSpPr/>
      </dsp:nvSpPr>
      <dsp:spPr>
        <a:xfrm rot="5400000">
          <a:off x="1395793" y="1267139"/>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1B051E1C-F434-497C-BAD9-F5310BE8E974}">
      <dsp:nvSpPr>
        <dsp:cNvPr id="0" name=""/>
        <dsp:cNvSpPr/>
      </dsp:nvSpPr>
      <dsp:spPr>
        <a:xfrm>
          <a:off x="39067" y="1403538"/>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 по стоимости сделки с идентичными товарами (метод 2)</a:t>
          </a:r>
        </a:p>
      </dsp:txBody>
      <dsp:txXfrm>
        <a:off x="54286" y="1418757"/>
        <a:ext cx="2773947" cy="489177"/>
      </dsp:txXfrm>
    </dsp:sp>
    <dsp:sp modelId="{54B2F217-9BBD-4F4B-A656-C914C0D11FCC}">
      <dsp:nvSpPr>
        <dsp:cNvPr id="0" name=""/>
        <dsp:cNvSpPr/>
      </dsp:nvSpPr>
      <dsp:spPr>
        <a:xfrm rot="5400000">
          <a:off x="1395793" y="1968620"/>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64FBDA10-2838-490B-A637-F9565C19F0C8}">
      <dsp:nvSpPr>
        <dsp:cNvPr id="0" name=""/>
        <dsp:cNvSpPr/>
      </dsp:nvSpPr>
      <dsp:spPr>
        <a:xfrm>
          <a:off x="39067" y="2105019"/>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 по стоимости сделки с однородными товарами (метод 3)</a:t>
          </a:r>
        </a:p>
      </dsp:txBody>
      <dsp:txXfrm>
        <a:off x="54286" y="2120238"/>
        <a:ext cx="2773947" cy="489177"/>
      </dsp:txXfrm>
    </dsp:sp>
    <dsp:sp modelId="{8D834095-F5D2-4B87-BFBC-725D07A22B8C}">
      <dsp:nvSpPr>
        <dsp:cNvPr id="0" name=""/>
        <dsp:cNvSpPr/>
      </dsp:nvSpPr>
      <dsp:spPr>
        <a:xfrm rot="5400000">
          <a:off x="1395793" y="2670101"/>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64D29A4C-9F22-49DB-A7E9-B4046003DD1E}">
      <dsp:nvSpPr>
        <dsp:cNvPr id="0" name=""/>
        <dsp:cNvSpPr/>
      </dsp:nvSpPr>
      <dsp:spPr>
        <a:xfrm>
          <a:off x="39067" y="2806500"/>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 вычитания ( 4 метод)</a:t>
          </a:r>
        </a:p>
      </dsp:txBody>
      <dsp:txXfrm>
        <a:off x="54286" y="2821719"/>
        <a:ext cx="2773947" cy="489177"/>
      </dsp:txXfrm>
    </dsp:sp>
    <dsp:sp modelId="{92BD948C-81C1-4072-B880-F93AB36F59B0}">
      <dsp:nvSpPr>
        <dsp:cNvPr id="0" name=""/>
        <dsp:cNvSpPr/>
      </dsp:nvSpPr>
      <dsp:spPr>
        <a:xfrm rot="5400000">
          <a:off x="1395793" y="3371582"/>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3F977F0E-A2CE-4E33-8377-FF4E6A7CF585}">
      <dsp:nvSpPr>
        <dsp:cNvPr id="0" name=""/>
        <dsp:cNvSpPr/>
      </dsp:nvSpPr>
      <dsp:spPr>
        <a:xfrm>
          <a:off x="39067" y="3507981"/>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 сложения (метод 5)</a:t>
          </a:r>
        </a:p>
      </dsp:txBody>
      <dsp:txXfrm>
        <a:off x="54286" y="3523200"/>
        <a:ext cx="2773947" cy="489177"/>
      </dsp:txXfrm>
    </dsp:sp>
    <dsp:sp modelId="{F0DE3BC6-858D-4D8E-9F10-466F3B6AFB42}">
      <dsp:nvSpPr>
        <dsp:cNvPr id="0" name=""/>
        <dsp:cNvSpPr/>
      </dsp:nvSpPr>
      <dsp:spPr>
        <a:xfrm rot="5400000">
          <a:off x="1395793" y="4073063"/>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2017DF1D-833C-4CCB-8072-F5DCED991E35}">
      <dsp:nvSpPr>
        <dsp:cNvPr id="0" name=""/>
        <dsp:cNvSpPr/>
      </dsp:nvSpPr>
      <dsp:spPr>
        <a:xfrm>
          <a:off x="39067" y="4209462"/>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Резервный метод (метод 6)</a:t>
          </a:r>
        </a:p>
      </dsp:txBody>
      <dsp:txXfrm>
        <a:off x="54286" y="4224681"/>
        <a:ext cx="2773947" cy="489177"/>
      </dsp:txXfrm>
    </dsp:sp>
    <dsp:sp modelId="{430CD3F8-E1CF-4901-A754-2E63B53F6F8B}">
      <dsp:nvSpPr>
        <dsp:cNvPr id="0" name=""/>
        <dsp:cNvSpPr/>
      </dsp:nvSpPr>
      <dsp:spPr>
        <a:xfrm>
          <a:off x="3134437" y="577"/>
          <a:ext cx="2804385" cy="519615"/>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13970" tIns="13970" rIns="13970" bIns="13970"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Методы определения таможенной стоимости при вывозе товаров с таможенной территории Российской Федерации</a:t>
          </a:r>
        </a:p>
      </dsp:txBody>
      <dsp:txXfrm>
        <a:off x="3149656" y="15796"/>
        <a:ext cx="2773947" cy="489177"/>
      </dsp:txXfrm>
    </dsp:sp>
    <dsp:sp modelId="{4B1D614C-E7EB-4C30-B485-B6793B0FDA1C}">
      <dsp:nvSpPr>
        <dsp:cNvPr id="0" name=""/>
        <dsp:cNvSpPr/>
      </dsp:nvSpPr>
      <dsp:spPr>
        <a:xfrm rot="5400000">
          <a:off x="4491163" y="565659"/>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ED85B535-FDD6-414D-84AB-BBBEA3E23B39}">
      <dsp:nvSpPr>
        <dsp:cNvPr id="0" name=""/>
        <dsp:cNvSpPr/>
      </dsp:nvSpPr>
      <dsp:spPr>
        <a:xfrm>
          <a:off x="3134437" y="702058"/>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 по стоимости сделки с вывозимыми товарами (метод 1)</a:t>
          </a:r>
        </a:p>
      </dsp:txBody>
      <dsp:txXfrm>
        <a:off x="3149656" y="717277"/>
        <a:ext cx="2773947" cy="489177"/>
      </dsp:txXfrm>
    </dsp:sp>
    <dsp:sp modelId="{E4E1A390-2B22-42EA-864D-41B653991E3A}">
      <dsp:nvSpPr>
        <dsp:cNvPr id="0" name=""/>
        <dsp:cNvSpPr/>
      </dsp:nvSpPr>
      <dsp:spPr>
        <a:xfrm rot="5400000">
          <a:off x="4491163" y="1267139"/>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99506F58-404F-433F-A59D-72D986FF5002}">
      <dsp:nvSpPr>
        <dsp:cNvPr id="0" name=""/>
        <dsp:cNvSpPr/>
      </dsp:nvSpPr>
      <dsp:spPr>
        <a:xfrm>
          <a:off x="3134437" y="1403538"/>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 по стоимости сделки с идентичными товарами (метод 2)</a:t>
          </a:r>
        </a:p>
      </dsp:txBody>
      <dsp:txXfrm>
        <a:off x="3149656" y="1418757"/>
        <a:ext cx="2773947" cy="489177"/>
      </dsp:txXfrm>
    </dsp:sp>
    <dsp:sp modelId="{FC6B1880-3146-40A8-AB14-8A5A1D756DA3}">
      <dsp:nvSpPr>
        <dsp:cNvPr id="0" name=""/>
        <dsp:cNvSpPr/>
      </dsp:nvSpPr>
      <dsp:spPr>
        <a:xfrm rot="5400000">
          <a:off x="4491163" y="1968620"/>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44F8684E-03A6-40EE-A996-D351C234EDDD}">
      <dsp:nvSpPr>
        <dsp:cNvPr id="0" name=""/>
        <dsp:cNvSpPr/>
      </dsp:nvSpPr>
      <dsp:spPr>
        <a:xfrm>
          <a:off x="3134437" y="2105019"/>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 по стоимости сделки с однородными товарами (метод 3)</a:t>
          </a:r>
        </a:p>
      </dsp:txBody>
      <dsp:txXfrm>
        <a:off x="3149656" y="2120238"/>
        <a:ext cx="2773947" cy="489177"/>
      </dsp:txXfrm>
    </dsp:sp>
    <dsp:sp modelId="{AF6F9E1E-9D3F-4F1A-99DA-F5A55844534C}">
      <dsp:nvSpPr>
        <dsp:cNvPr id="0" name=""/>
        <dsp:cNvSpPr/>
      </dsp:nvSpPr>
      <dsp:spPr>
        <a:xfrm rot="5400000">
          <a:off x="4491163" y="2670101"/>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31A6301E-83E7-48D5-AF68-2EA0982AE6CF}">
      <dsp:nvSpPr>
        <dsp:cNvPr id="0" name=""/>
        <dsp:cNvSpPr/>
      </dsp:nvSpPr>
      <dsp:spPr>
        <a:xfrm>
          <a:off x="3134437" y="2806500"/>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Метод сложения (метод 5)</a:t>
          </a:r>
        </a:p>
      </dsp:txBody>
      <dsp:txXfrm>
        <a:off x="3149656" y="2821719"/>
        <a:ext cx="2773947" cy="489177"/>
      </dsp:txXfrm>
    </dsp:sp>
    <dsp:sp modelId="{A1367F4A-812B-4F11-AEC5-B836CB788876}">
      <dsp:nvSpPr>
        <dsp:cNvPr id="0" name=""/>
        <dsp:cNvSpPr/>
      </dsp:nvSpPr>
      <dsp:spPr>
        <a:xfrm rot="5400000">
          <a:off x="4491163" y="3371582"/>
          <a:ext cx="90932" cy="90932"/>
        </a:xfrm>
        <a:prstGeom prst="rightArrow">
          <a:avLst>
            <a:gd name="adj1" fmla="val 667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sp>
    <dsp:sp modelId="{560C9EA6-38A0-4271-90DF-6F0B68A6A971}">
      <dsp:nvSpPr>
        <dsp:cNvPr id="0" name=""/>
        <dsp:cNvSpPr/>
      </dsp:nvSpPr>
      <dsp:spPr>
        <a:xfrm>
          <a:off x="3134437" y="3507981"/>
          <a:ext cx="2804385" cy="519615"/>
        </a:xfrm>
        <a:prstGeom prst="roundRect">
          <a:avLst>
            <a:gd name="adj" fmla="val 10000"/>
          </a:avLst>
        </a:prstGeom>
        <a:solidFill>
          <a:sysClr val="window" lastClr="FFFFFF">
            <a:alpha val="90000"/>
            <a:tint val="40000"/>
            <a:hueOff val="0"/>
            <a:satOff val="0"/>
            <a:lumOff val="0"/>
            <a:alphaOff val="0"/>
          </a:sysClr>
        </a:solidFill>
        <a:ln w="12700" cap="flat" cmpd="sng" algn="ctr">
          <a:solidFill>
            <a:sysClr val="windowText" lastClr="000000">
              <a:alpha val="9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13970" tIns="13970" rIns="13970" bIns="13970"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Резервный метод (метод 6)</a:t>
          </a:r>
        </a:p>
      </dsp:txBody>
      <dsp:txXfrm>
        <a:off x="3149656" y="3523200"/>
        <a:ext cx="2773947" cy="489177"/>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71E8A641-9509-47DA-A2C9-CBD720486ABD}">
      <dsp:nvSpPr>
        <dsp:cNvPr id="0" name=""/>
        <dsp:cNvSpPr/>
      </dsp:nvSpPr>
      <dsp:spPr>
        <a:xfrm>
          <a:off x="0" y="2618645"/>
          <a:ext cx="1255454" cy="42985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100000"/>
            </a:lnSpc>
            <a:spcBef>
              <a:spcPct val="0"/>
            </a:spcBef>
            <a:spcAft>
              <a:spcPts val="0"/>
            </a:spcAft>
            <a:buNone/>
          </a:pPr>
          <a:r>
            <a:rPr lang="ru-RU"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Дополнительные начисления</a:t>
          </a:r>
        </a:p>
      </dsp:txBody>
      <dsp:txXfrm>
        <a:off x="12590" y="2631235"/>
        <a:ext cx="1230274" cy="404670"/>
      </dsp:txXfrm>
    </dsp:sp>
    <dsp:sp modelId="{790AD3A8-B7BA-4D7C-A4D0-6E830A815225}">
      <dsp:nvSpPr>
        <dsp:cNvPr id="0" name=""/>
        <dsp:cNvSpPr/>
      </dsp:nvSpPr>
      <dsp:spPr>
        <a:xfrm rot="16945939">
          <a:off x="403475" y="1765857"/>
          <a:ext cx="2171438" cy="14904"/>
        </a:xfrm>
        <a:custGeom>
          <a:avLst/>
          <a:gdLst/>
          <a:ahLst/>
          <a:cxnLst/>
          <a:rect l="0" t="0" r="0" b="0"/>
          <a:pathLst>
            <a:path>
              <a:moveTo>
                <a:pt x="0" y="7452"/>
              </a:moveTo>
              <a:lnTo>
                <a:pt x="2100997" y="7452"/>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ru-RU" sz="800" kern="1200">
            <a:solidFill>
              <a:sysClr val="windowText" lastClr="000000">
                <a:hueOff val="0"/>
                <a:satOff val="0"/>
                <a:lumOff val="0"/>
                <a:alphaOff val="0"/>
              </a:sysClr>
            </a:solidFill>
            <a:latin typeface="Calibri" panose="020F0502020204030204"/>
            <a:ea typeface="+mn-ea"/>
            <a:cs typeface="+mn-cs"/>
          </a:endParaRPr>
        </a:p>
      </dsp:txBody>
      <dsp:txXfrm>
        <a:off x="1424494" y="1814635"/>
        <a:ext cx="0" cy="0"/>
      </dsp:txXfrm>
    </dsp:sp>
    <dsp:sp modelId="{DA78B694-52BC-4378-BF87-33D5B371B739}">
      <dsp:nvSpPr>
        <dsp:cNvPr id="0" name=""/>
        <dsp:cNvSpPr/>
      </dsp:nvSpPr>
      <dsp:spPr>
        <a:xfrm>
          <a:off x="1722935" y="498125"/>
          <a:ext cx="1278898" cy="42985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100000"/>
            </a:lnSpc>
            <a:spcBef>
              <a:spcPct val="0"/>
            </a:spcBef>
            <a:spcAft>
              <a:spcPts val="0"/>
            </a:spcAft>
            <a:buNone/>
          </a:pPr>
          <a:r>
            <a:rPr lang="ru-RU"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Расходы, не включенные в цену, фактически уплаченную за товары</a:t>
          </a:r>
        </a:p>
      </dsp:txBody>
      <dsp:txXfrm>
        <a:off x="1735525" y="510715"/>
        <a:ext cx="1253718" cy="404670"/>
      </dsp:txXfrm>
    </dsp:sp>
    <dsp:sp modelId="{73835DEF-4F29-4D05-9E63-3257BD7D166A}">
      <dsp:nvSpPr>
        <dsp:cNvPr id="0" name=""/>
        <dsp:cNvSpPr/>
      </dsp:nvSpPr>
      <dsp:spPr>
        <a:xfrm rot="18289469">
          <a:off x="2872686" y="458434"/>
          <a:ext cx="602173" cy="14904"/>
        </a:xfrm>
        <a:custGeom>
          <a:avLst/>
          <a:gdLst/>
          <a:ahLst/>
          <a:cxnLst/>
          <a:rect l="0" t="0" r="0" b="0"/>
          <a:pathLst>
            <a:path>
              <a:moveTo>
                <a:pt x="0" y="7452"/>
              </a:moveTo>
              <a:lnTo>
                <a:pt x="546399" y="745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ru-RU" sz="800" kern="1200">
            <a:solidFill>
              <a:sysClr val="windowText" lastClr="000000">
                <a:hueOff val="0"/>
                <a:satOff val="0"/>
                <a:lumOff val="0"/>
                <a:alphaOff val="0"/>
              </a:sysClr>
            </a:solidFill>
            <a:latin typeface="Calibri" panose="020F0502020204030204"/>
            <a:ea typeface="+mn-ea"/>
            <a:cs typeface="+mn-cs"/>
          </a:endParaRPr>
        </a:p>
      </dsp:txBody>
      <dsp:txXfrm>
        <a:off x="3152818" y="469647"/>
        <a:ext cx="0" cy="0"/>
      </dsp:txXfrm>
    </dsp:sp>
    <dsp:sp modelId="{E81CBCEF-1F2D-45DE-8C63-C4D4C1362C5C}">
      <dsp:nvSpPr>
        <dsp:cNvPr id="0" name=""/>
        <dsp:cNvSpPr/>
      </dsp:nvSpPr>
      <dsp:spPr>
        <a:xfrm>
          <a:off x="3345713" y="3797"/>
          <a:ext cx="2065455" cy="42985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100000"/>
            </a:lnSpc>
            <a:spcBef>
              <a:spcPct val="0"/>
            </a:spcBef>
            <a:spcAft>
              <a:spcPts val="0"/>
            </a:spcAft>
            <a:buNone/>
          </a:pPr>
          <a:r>
            <a:rPr lang="ru-RU"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Вознаграждение посредникам (агентам) и вознаграждение брокерам</a:t>
          </a:r>
        </a:p>
      </dsp:txBody>
      <dsp:txXfrm>
        <a:off x="3358303" y="16387"/>
        <a:ext cx="2040275" cy="404670"/>
      </dsp:txXfrm>
    </dsp:sp>
    <dsp:sp modelId="{CCDE4B05-F266-4B47-B449-B7CF1C184B61}">
      <dsp:nvSpPr>
        <dsp:cNvPr id="0" name=""/>
        <dsp:cNvSpPr/>
      </dsp:nvSpPr>
      <dsp:spPr>
        <a:xfrm>
          <a:off x="3001833" y="705597"/>
          <a:ext cx="343880" cy="14904"/>
        </a:xfrm>
        <a:custGeom>
          <a:avLst/>
          <a:gdLst/>
          <a:ahLst/>
          <a:cxnLst/>
          <a:rect l="0" t="0" r="0" b="0"/>
          <a:pathLst>
            <a:path>
              <a:moveTo>
                <a:pt x="0" y="7452"/>
              </a:moveTo>
              <a:lnTo>
                <a:pt x="312029" y="745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ru-RU" sz="800" kern="1200">
            <a:solidFill>
              <a:sysClr val="windowText" lastClr="000000">
                <a:hueOff val="0"/>
                <a:satOff val="0"/>
                <a:lumOff val="0"/>
                <a:alphaOff val="0"/>
              </a:sysClr>
            </a:solidFill>
            <a:latin typeface="Calibri" panose="020F0502020204030204"/>
            <a:ea typeface="+mn-ea"/>
            <a:cs typeface="+mn-cs"/>
          </a:endParaRPr>
        </a:p>
      </dsp:txBody>
      <dsp:txXfrm>
        <a:off x="3165176" y="704453"/>
        <a:ext cx="0" cy="0"/>
      </dsp:txXfrm>
    </dsp:sp>
    <dsp:sp modelId="{EED4315D-71D2-4BF5-AE4D-34E037DFE265}">
      <dsp:nvSpPr>
        <dsp:cNvPr id="0" name=""/>
        <dsp:cNvSpPr/>
      </dsp:nvSpPr>
      <dsp:spPr>
        <a:xfrm>
          <a:off x="3345713" y="498125"/>
          <a:ext cx="2072547" cy="42985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100000"/>
            </a:lnSpc>
            <a:spcBef>
              <a:spcPct val="0"/>
            </a:spcBef>
            <a:spcAft>
              <a:spcPts val="0"/>
            </a:spcAft>
            <a:buNone/>
          </a:pPr>
          <a:r>
            <a:rPr lang="ru-RU"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Расходы на тару, если для таможенных целей она рассматривается как единое целое с товарами</a:t>
          </a:r>
        </a:p>
      </dsp:txBody>
      <dsp:txXfrm>
        <a:off x="3358303" y="510715"/>
        <a:ext cx="2047367" cy="404670"/>
      </dsp:txXfrm>
    </dsp:sp>
    <dsp:sp modelId="{A94CB019-2151-4963-AB0B-506FEADCF175}">
      <dsp:nvSpPr>
        <dsp:cNvPr id="0" name=""/>
        <dsp:cNvSpPr/>
      </dsp:nvSpPr>
      <dsp:spPr>
        <a:xfrm rot="3310531">
          <a:off x="2872686" y="952761"/>
          <a:ext cx="602173" cy="14904"/>
        </a:xfrm>
        <a:custGeom>
          <a:avLst/>
          <a:gdLst/>
          <a:ahLst/>
          <a:cxnLst/>
          <a:rect l="0" t="0" r="0" b="0"/>
          <a:pathLst>
            <a:path>
              <a:moveTo>
                <a:pt x="0" y="7452"/>
              </a:moveTo>
              <a:lnTo>
                <a:pt x="546399" y="745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ru-RU" sz="800" kern="1200">
            <a:solidFill>
              <a:sysClr val="windowText" lastClr="000000">
                <a:hueOff val="0"/>
                <a:satOff val="0"/>
                <a:lumOff val="0"/>
                <a:alphaOff val="0"/>
              </a:sysClr>
            </a:solidFill>
            <a:latin typeface="Calibri" panose="020F0502020204030204"/>
            <a:ea typeface="+mn-ea"/>
            <a:cs typeface="+mn-cs"/>
          </a:endParaRPr>
        </a:p>
      </dsp:txBody>
      <dsp:txXfrm>
        <a:off x="3177534" y="939258"/>
        <a:ext cx="0" cy="0"/>
      </dsp:txXfrm>
    </dsp:sp>
    <dsp:sp modelId="{7FC110E6-61A7-4A64-A56F-D4AC8233334B}">
      <dsp:nvSpPr>
        <dsp:cNvPr id="0" name=""/>
        <dsp:cNvSpPr/>
      </dsp:nvSpPr>
      <dsp:spPr>
        <a:xfrm>
          <a:off x="3345713" y="992452"/>
          <a:ext cx="2054511" cy="42985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100000"/>
            </a:lnSpc>
            <a:spcBef>
              <a:spcPct val="0"/>
            </a:spcBef>
            <a:spcAft>
              <a:spcPts val="0"/>
            </a:spcAft>
            <a:buNone/>
          </a:pPr>
          <a:r>
            <a:rPr lang="ru-RU"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Расходы на упаковку товаров, в т.ч. стоимость упаковочных материалов и работ по упаковке</a:t>
          </a:r>
        </a:p>
      </dsp:txBody>
      <dsp:txXfrm>
        <a:off x="3358303" y="1005042"/>
        <a:ext cx="2029331" cy="404670"/>
      </dsp:txXfrm>
    </dsp:sp>
    <dsp:sp modelId="{798EF0B1-BA5F-4BE6-B8BA-DE9CD29839CF}">
      <dsp:nvSpPr>
        <dsp:cNvPr id="0" name=""/>
        <dsp:cNvSpPr/>
      </dsp:nvSpPr>
      <dsp:spPr>
        <a:xfrm rot="18576356">
          <a:off x="1122545" y="2543634"/>
          <a:ext cx="733298" cy="14904"/>
        </a:xfrm>
        <a:custGeom>
          <a:avLst/>
          <a:gdLst/>
          <a:ahLst/>
          <a:cxnLst/>
          <a:rect l="0" t="0" r="0" b="0"/>
          <a:pathLst>
            <a:path>
              <a:moveTo>
                <a:pt x="0" y="7452"/>
              </a:moveTo>
              <a:lnTo>
                <a:pt x="987309" y="7452"/>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ru-RU" sz="800" kern="1200">
            <a:solidFill>
              <a:sysClr val="windowText" lastClr="000000">
                <a:hueOff val="0"/>
                <a:satOff val="0"/>
                <a:lumOff val="0"/>
                <a:alphaOff val="0"/>
              </a:sysClr>
            </a:solidFill>
            <a:latin typeface="Calibri" panose="020F0502020204030204"/>
            <a:ea typeface="+mn-ea"/>
            <a:cs typeface="+mn-cs"/>
          </a:endParaRPr>
        </a:p>
      </dsp:txBody>
      <dsp:txXfrm>
        <a:off x="1463383" y="2553522"/>
        <a:ext cx="0" cy="0"/>
      </dsp:txXfrm>
    </dsp:sp>
    <dsp:sp modelId="{054B0075-B1AE-413F-BB24-03D7028D568D}">
      <dsp:nvSpPr>
        <dsp:cNvPr id="0" name=""/>
        <dsp:cNvSpPr/>
      </dsp:nvSpPr>
      <dsp:spPr>
        <a:xfrm>
          <a:off x="1722935" y="1821515"/>
          <a:ext cx="1917999" cy="894174"/>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100000"/>
            </a:lnSpc>
            <a:spcBef>
              <a:spcPct val="0"/>
            </a:spcBef>
            <a:spcAft>
              <a:spcPts val="0"/>
            </a:spcAft>
            <a:buNone/>
          </a:pPr>
          <a:r>
            <a:rPr lang="ru-RU"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Стоимость товаров и услуг, прямо или косвенно предоставленных покупателем бесплатно или по сниженной цене для использования в связи с производством и продажей товаров, не включенных в цену, фактически уплаченную</a:t>
          </a:r>
        </a:p>
      </dsp:txBody>
      <dsp:txXfrm>
        <a:off x="1749124" y="1847704"/>
        <a:ext cx="1865621" cy="841796"/>
      </dsp:txXfrm>
    </dsp:sp>
    <dsp:sp modelId="{3A739DF0-5964-49FF-99BB-321530138F57}">
      <dsp:nvSpPr>
        <dsp:cNvPr id="0" name=""/>
        <dsp:cNvSpPr/>
      </dsp:nvSpPr>
      <dsp:spPr>
        <a:xfrm rot="18074461">
          <a:off x="3481353" y="1977701"/>
          <a:ext cx="663042" cy="14904"/>
        </a:xfrm>
        <a:custGeom>
          <a:avLst/>
          <a:gdLst/>
          <a:ahLst/>
          <a:cxnLst/>
          <a:rect l="0" t="0" r="0" b="0"/>
          <a:pathLst>
            <a:path>
              <a:moveTo>
                <a:pt x="0" y="7452"/>
              </a:moveTo>
              <a:lnTo>
                <a:pt x="601630" y="745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ru-RU" sz="800" kern="1200">
            <a:solidFill>
              <a:sysClr val="windowText" lastClr="000000">
                <a:hueOff val="0"/>
                <a:satOff val="0"/>
                <a:lumOff val="0"/>
                <a:alphaOff val="0"/>
              </a:sysClr>
            </a:solidFill>
            <a:latin typeface="Calibri" panose="020F0502020204030204"/>
            <a:ea typeface="+mn-ea"/>
            <a:cs typeface="+mn-cs"/>
          </a:endParaRPr>
        </a:p>
      </dsp:txBody>
      <dsp:txXfrm>
        <a:off x="3790105" y="1990728"/>
        <a:ext cx="0" cy="0"/>
      </dsp:txXfrm>
    </dsp:sp>
    <dsp:sp modelId="{7E976FD7-E153-4392-96A1-5E96DDA27A8B}">
      <dsp:nvSpPr>
        <dsp:cNvPr id="0" name=""/>
        <dsp:cNvSpPr/>
      </dsp:nvSpPr>
      <dsp:spPr>
        <a:xfrm>
          <a:off x="3984814" y="1486780"/>
          <a:ext cx="1452471" cy="42985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100000"/>
            </a:lnSpc>
            <a:spcBef>
              <a:spcPct val="0"/>
            </a:spcBef>
            <a:spcAft>
              <a:spcPts val="0"/>
            </a:spcAft>
            <a:buNone/>
          </a:pPr>
          <a:r>
            <a:rPr lang="ru-RU"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Инструменты, штампы, формы и иные подобные товары</a:t>
          </a:r>
        </a:p>
      </dsp:txBody>
      <dsp:txXfrm>
        <a:off x="3997404" y="1499370"/>
        <a:ext cx="1427291" cy="404670"/>
      </dsp:txXfrm>
    </dsp:sp>
    <dsp:sp modelId="{A4BBBE8F-23E9-418B-B0F4-697930891370}">
      <dsp:nvSpPr>
        <dsp:cNvPr id="0" name=""/>
        <dsp:cNvSpPr/>
      </dsp:nvSpPr>
      <dsp:spPr>
        <a:xfrm rot="20885019">
          <a:off x="3637147" y="2224865"/>
          <a:ext cx="351453" cy="14904"/>
        </a:xfrm>
        <a:custGeom>
          <a:avLst/>
          <a:gdLst/>
          <a:ahLst/>
          <a:cxnLst/>
          <a:rect l="0" t="0" r="0" b="0"/>
          <a:pathLst>
            <a:path>
              <a:moveTo>
                <a:pt x="0" y="7452"/>
              </a:moveTo>
              <a:lnTo>
                <a:pt x="318901" y="745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ru-RU" sz="800" kern="1200">
            <a:solidFill>
              <a:sysClr val="windowText" lastClr="000000">
                <a:hueOff val="0"/>
                <a:satOff val="0"/>
                <a:lumOff val="0"/>
                <a:alphaOff val="0"/>
              </a:sysClr>
            </a:solidFill>
            <a:latin typeface="Calibri" panose="020F0502020204030204"/>
            <a:ea typeface="+mn-ea"/>
            <a:cs typeface="+mn-cs"/>
          </a:endParaRPr>
        </a:p>
      </dsp:txBody>
      <dsp:txXfrm>
        <a:off x="3802463" y="2225535"/>
        <a:ext cx="0" cy="0"/>
      </dsp:txXfrm>
    </dsp:sp>
    <dsp:sp modelId="{D3F1197B-74EF-4F3A-A314-71E92066F6C0}">
      <dsp:nvSpPr>
        <dsp:cNvPr id="0" name=""/>
        <dsp:cNvSpPr/>
      </dsp:nvSpPr>
      <dsp:spPr>
        <a:xfrm>
          <a:off x="3984814" y="1981107"/>
          <a:ext cx="1250889" cy="42985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100000"/>
            </a:lnSpc>
            <a:spcBef>
              <a:spcPct val="0"/>
            </a:spcBef>
            <a:spcAft>
              <a:spcPts val="0"/>
            </a:spcAft>
            <a:buNone/>
          </a:pPr>
          <a:r>
            <a:rPr lang="ru-RU"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Материалы</a:t>
          </a:r>
        </a:p>
      </dsp:txBody>
      <dsp:txXfrm>
        <a:off x="3997404" y="1993697"/>
        <a:ext cx="1225709" cy="404670"/>
      </dsp:txXfrm>
    </dsp:sp>
    <dsp:sp modelId="{39FCC58C-DCCC-48D5-AA68-FD2607A942E2}">
      <dsp:nvSpPr>
        <dsp:cNvPr id="0" name=""/>
        <dsp:cNvSpPr/>
      </dsp:nvSpPr>
      <dsp:spPr>
        <a:xfrm rot="3310531">
          <a:off x="3511788" y="2508313"/>
          <a:ext cx="602173" cy="14904"/>
        </a:xfrm>
        <a:custGeom>
          <a:avLst/>
          <a:gdLst/>
          <a:ahLst/>
          <a:cxnLst/>
          <a:rect l="0" t="0" r="0" b="0"/>
          <a:pathLst>
            <a:path>
              <a:moveTo>
                <a:pt x="0" y="7452"/>
              </a:moveTo>
              <a:lnTo>
                <a:pt x="546399" y="7452"/>
              </a:lnTo>
            </a:path>
          </a:pathLst>
        </a:custGeom>
        <a:no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ru-RU" sz="800" kern="1200">
            <a:solidFill>
              <a:sysClr val="windowText" lastClr="000000">
                <a:hueOff val="0"/>
                <a:satOff val="0"/>
                <a:lumOff val="0"/>
                <a:alphaOff val="0"/>
              </a:sysClr>
            </a:solidFill>
            <a:latin typeface="Calibri" panose="020F0502020204030204"/>
            <a:ea typeface="+mn-ea"/>
            <a:cs typeface="+mn-cs"/>
          </a:endParaRPr>
        </a:p>
      </dsp:txBody>
      <dsp:txXfrm>
        <a:off x="3816635" y="2494810"/>
        <a:ext cx="0" cy="0"/>
      </dsp:txXfrm>
    </dsp:sp>
    <dsp:sp modelId="{3262AACF-64BB-470C-9B39-B6C6BD30F384}">
      <dsp:nvSpPr>
        <dsp:cNvPr id="0" name=""/>
        <dsp:cNvSpPr/>
      </dsp:nvSpPr>
      <dsp:spPr>
        <a:xfrm>
          <a:off x="3984814" y="2475435"/>
          <a:ext cx="2011079" cy="574988"/>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100000"/>
            </a:lnSpc>
            <a:spcBef>
              <a:spcPct val="0"/>
            </a:spcBef>
            <a:spcAft>
              <a:spcPts val="0"/>
            </a:spcAft>
            <a:buNone/>
          </a:pPr>
          <a:r>
            <a:rPr lang="ru-RU"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Проектирование, разработка, инженерная, конструкторская работа, художественное оформление, дизайн, эскизы и чертежи</a:t>
          </a:r>
        </a:p>
      </dsp:txBody>
      <dsp:txXfrm>
        <a:off x="4001655" y="2492276"/>
        <a:ext cx="1977397" cy="541306"/>
      </dsp:txXfrm>
    </dsp:sp>
    <dsp:sp modelId="{2616D7E6-42C7-4E99-BD57-F4D5424F1A3E}">
      <dsp:nvSpPr>
        <dsp:cNvPr id="0" name=""/>
        <dsp:cNvSpPr/>
      </dsp:nvSpPr>
      <dsp:spPr>
        <a:xfrm rot="1143647">
          <a:off x="1241895" y="2906878"/>
          <a:ext cx="494598" cy="14904"/>
        </a:xfrm>
        <a:custGeom>
          <a:avLst/>
          <a:gdLst/>
          <a:ahLst/>
          <a:cxnLst/>
          <a:rect l="0" t="0" r="0" b="0"/>
          <a:pathLst>
            <a:path>
              <a:moveTo>
                <a:pt x="0" y="7452"/>
              </a:moveTo>
              <a:lnTo>
                <a:pt x="856423" y="7452"/>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ru-RU" sz="800" kern="1200">
            <a:solidFill>
              <a:sysClr val="windowText" lastClr="000000">
                <a:hueOff val="0"/>
                <a:satOff val="0"/>
                <a:lumOff val="0"/>
                <a:alphaOff val="0"/>
              </a:sysClr>
            </a:solidFill>
            <a:latin typeface="Calibri" panose="020F0502020204030204"/>
            <a:ea typeface="+mn-ea"/>
            <a:cs typeface="+mn-cs"/>
          </a:endParaRPr>
        </a:p>
      </dsp:txBody>
      <dsp:txXfrm>
        <a:off x="1481545" y="2898606"/>
        <a:ext cx="0" cy="0"/>
      </dsp:txXfrm>
    </dsp:sp>
    <dsp:sp modelId="{46447F3E-3233-425B-A818-3367662934EE}">
      <dsp:nvSpPr>
        <dsp:cNvPr id="0" name=""/>
        <dsp:cNvSpPr/>
      </dsp:nvSpPr>
      <dsp:spPr>
        <a:xfrm>
          <a:off x="1722935" y="2780166"/>
          <a:ext cx="1990076" cy="42985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100000"/>
            </a:lnSpc>
            <a:spcBef>
              <a:spcPct val="0"/>
            </a:spcBef>
            <a:spcAft>
              <a:spcPts val="0"/>
            </a:spcAft>
            <a:buNone/>
          </a:pPr>
          <a:r>
            <a:rPr lang="ru-RU"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Часть дохода (выручки), которая прямо или косвенно причитается продавцу</a:t>
          </a:r>
        </a:p>
      </dsp:txBody>
      <dsp:txXfrm>
        <a:off x="1735525" y="2792756"/>
        <a:ext cx="1964896" cy="404670"/>
      </dsp:txXfrm>
    </dsp:sp>
    <dsp:sp modelId="{294B74C8-EE3A-4232-A0CB-8FA598D29A21}">
      <dsp:nvSpPr>
        <dsp:cNvPr id="0" name=""/>
        <dsp:cNvSpPr/>
      </dsp:nvSpPr>
      <dsp:spPr>
        <a:xfrm rot="3271153">
          <a:off x="1086492" y="3154042"/>
          <a:ext cx="805404" cy="14904"/>
        </a:xfrm>
        <a:custGeom>
          <a:avLst/>
          <a:gdLst/>
          <a:ahLst/>
          <a:cxnLst/>
          <a:rect l="0" t="0" r="0" b="0"/>
          <a:pathLst>
            <a:path>
              <a:moveTo>
                <a:pt x="0" y="7452"/>
              </a:moveTo>
              <a:lnTo>
                <a:pt x="1032534" y="7452"/>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ru-RU" sz="800" kern="1200">
            <a:solidFill>
              <a:sysClr val="windowText" lastClr="000000">
                <a:hueOff val="0"/>
                <a:satOff val="0"/>
                <a:lumOff val="0"/>
                <a:alphaOff val="0"/>
              </a:sysClr>
            </a:solidFill>
            <a:latin typeface="Calibri" panose="020F0502020204030204"/>
            <a:ea typeface="+mn-ea"/>
            <a:cs typeface="+mn-cs"/>
          </a:endParaRPr>
        </a:p>
      </dsp:txBody>
      <dsp:txXfrm>
        <a:off x="1493903" y="3133411"/>
        <a:ext cx="0" cy="0"/>
      </dsp:txXfrm>
    </dsp:sp>
    <dsp:sp modelId="{02B6C4CF-266F-4408-AB26-EEE5C47F3501}">
      <dsp:nvSpPr>
        <dsp:cNvPr id="0" name=""/>
        <dsp:cNvSpPr/>
      </dsp:nvSpPr>
      <dsp:spPr>
        <a:xfrm>
          <a:off x="1722935" y="3274494"/>
          <a:ext cx="3507997" cy="42985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100000"/>
            </a:lnSpc>
            <a:spcBef>
              <a:spcPct val="0"/>
            </a:spcBef>
            <a:spcAft>
              <a:spcPts val="0"/>
            </a:spcAft>
            <a:buNone/>
          </a:pPr>
          <a:r>
            <a:rPr lang="ru-RU"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Расходы на перевозку (транспортировку) товаров до места прибытия таких товаров на таможенную территорию</a:t>
          </a:r>
        </a:p>
      </dsp:txBody>
      <dsp:txXfrm>
        <a:off x="1735525" y="3287084"/>
        <a:ext cx="3482817" cy="404670"/>
      </dsp:txXfrm>
    </dsp:sp>
    <dsp:sp modelId="{E7DE7444-F299-4B3A-9619-A52D8712EF6D}">
      <dsp:nvSpPr>
        <dsp:cNvPr id="0" name=""/>
        <dsp:cNvSpPr/>
      </dsp:nvSpPr>
      <dsp:spPr>
        <a:xfrm rot="4072865">
          <a:off x="868420" y="3401206"/>
          <a:ext cx="1241549" cy="14904"/>
        </a:xfrm>
        <a:custGeom>
          <a:avLst/>
          <a:gdLst/>
          <a:ahLst/>
          <a:cxnLst/>
          <a:rect l="0" t="0" r="0" b="0"/>
          <a:pathLst>
            <a:path>
              <a:moveTo>
                <a:pt x="0" y="7452"/>
              </a:moveTo>
              <a:lnTo>
                <a:pt x="1342078" y="7452"/>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ru-RU" sz="800" kern="1200">
            <a:solidFill>
              <a:sysClr val="windowText" lastClr="000000">
                <a:hueOff val="0"/>
                <a:satOff val="0"/>
                <a:lumOff val="0"/>
                <a:alphaOff val="0"/>
              </a:sysClr>
            </a:solidFill>
            <a:latin typeface="Calibri" panose="020F0502020204030204"/>
            <a:ea typeface="+mn-ea"/>
            <a:cs typeface="+mn-cs"/>
          </a:endParaRPr>
        </a:p>
      </dsp:txBody>
      <dsp:txXfrm>
        <a:off x="1506262" y="3368217"/>
        <a:ext cx="0" cy="0"/>
      </dsp:txXfrm>
    </dsp:sp>
    <dsp:sp modelId="{90BDDE92-FBD3-466F-A447-C811294C32B4}">
      <dsp:nvSpPr>
        <dsp:cNvPr id="0" name=""/>
        <dsp:cNvSpPr/>
      </dsp:nvSpPr>
      <dsp:spPr>
        <a:xfrm>
          <a:off x="1722935" y="3768822"/>
          <a:ext cx="3542755" cy="42985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100000"/>
            </a:lnSpc>
            <a:spcBef>
              <a:spcPct val="0"/>
            </a:spcBef>
            <a:spcAft>
              <a:spcPts val="0"/>
            </a:spcAft>
            <a:buNone/>
          </a:pPr>
          <a:r>
            <a:rPr lang="ru-RU"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Расходы на погрузку, разгрузку или перегрузку товаров и проведение иных операций, связанных с их перевозкой (транспортировкой) до места прибытия товаров на таможенную территорию</a:t>
          </a:r>
        </a:p>
      </dsp:txBody>
      <dsp:txXfrm>
        <a:off x="1735525" y="3781412"/>
        <a:ext cx="3517575" cy="404670"/>
      </dsp:txXfrm>
    </dsp:sp>
    <dsp:sp modelId="{DF129888-47F6-4D6C-AC05-0AE79C32F1CB}">
      <dsp:nvSpPr>
        <dsp:cNvPr id="0" name=""/>
        <dsp:cNvSpPr/>
      </dsp:nvSpPr>
      <dsp:spPr>
        <a:xfrm rot="4447873">
          <a:off x="634365" y="3648370"/>
          <a:ext cx="1709658" cy="14904"/>
        </a:xfrm>
        <a:custGeom>
          <a:avLst/>
          <a:gdLst/>
          <a:ahLst/>
          <a:cxnLst/>
          <a:rect l="0" t="0" r="0" b="0"/>
          <a:pathLst>
            <a:path>
              <a:moveTo>
                <a:pt x="0" y="7452"/>
              </a:moveTo>
              <a:lnTo>
                <a:pt x="1714235" y="7452"/>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ru-RU" sz="800" kern="1200">
            <a:solidFill>
              <a:sysClr val="windowText" lastClr="000000">
                <a:hueOff val="0"/>
                <a:satOff val="0"/>
                <a:lumOff val="0"/>
                <a:alphaOff val="0"/>
              </a:sysClr>
            </a:solidFill>
            <a:latin typeface="Calibri" panose="020F0502020204030204"/>
            <a:ea typeface="+mn-ea"/>
            <a:cs typeface="+mn-cs"/>
          </a:endParaRPr>
        </a:p>
      </dsp:txBody>
      <dsp:txXfrm>
        <a:off x="1518619" y="3603023"/>
        <a:ext cx="0" cy="0"/>
      </dsp:txXfrm>
    </dsp:sp>
    <dsp:sp modelId="{B0F6D03B-EC14-4CC7-B6C9-8FE8534B68E9}">
      <dsp:nvSpPr>
        <dsp:cNvPr id="0" name=""/>
        <dsp:cNvSpPr/>
      </dsp:nvSpPr>
      <dsp:spPr>
        <a:xfrm>
          <a:off x="1722935" y="4263149"/>
          <a:ext cx="3537029" cy="42985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100000"/>
            </a:lnSpc>
            <a:spcBef>
              <a:spcPct val="0"/>
            </a:spcBef>
            <a:spcAft>
              <a:spcPts val="0"/>
            </a:spcAft>
            <a:buNone/>
          </a:pPr>
          <a:r>
            <a:rPr lang="ru-RU"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Расходы на страхование</a:t>
          </a:r>
        </a:p>
      </dsp:txBody>
      <dsp:txXfrm>
        <a:off x="1735525" y="4275739"/>
        <a:ext cx="3511849" cy="404670"/>
      </dsp:txXfrm>
    </dsp:sp>
    <dsp:sp modelId="{65378CBD-30DD-427E-91D4-B4149BFEF89B}">
      <dsp:nvSpPr>
        <dsp:cNvPr id="0" name=""/>
        <dsp:cNvSpPr/>
      </dsp:nvSpPr>
      <dsp:spPr>
        <a:xfrm rot="4660251">
          <a:off x="394532" y="3895533"/>
          <a:ext cx="2189324" cy="14904"/>
        </a:xfrm>
        <a:custGeom>
          <a:avLst/>
          <a:gdLst/>
          <a:ahLst/>
          <a:cxnLst/>
          <a:rect l="0" t="0" r="0" b="0"/>
          <a:pathLst>
            <a:path>
              <a:moveTo>
                <a:pt x="0" y="7452"/>
              </a:moveTo>
              <a:lnTo>
                <a:pt x="2116225" y="7452"/>
              </a:lnTo>
            </a:path>
          </a:pathLst>
        </a:custGeom>
        <a:noFill/>
        <a:ln w="12700" cap="flat" cmpd="sng" algn="ctr">
          <a:solidFill>
            <a:sysClr val="windowText" lastClr="000000">
              <a:shade val="60000"/>
              <a:hueOff val="0"/>
              <a:satOff val="0"/>
              <a:lumOff val="0"/>
              <a:alphaOff val="0"/>
            </a:sys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355600">
            <a:lnSpc>
              <a:spcPct val="90000"/>
            </a:lnSpc>
            <a:spcBef>
              <a:spcPct val="0"/>
            </a:spcBef>
            <a:spcAft>
              <a:spcPct val="35000"/>
            </a:spcAft>
            <a:buNone/>
          </a:pPr>
          <a:endParaRPr lang="ru-RU" sz="800" kern="1200">
            <a:solidFill>
              <a:sysClr val="windowText" lastClr="000000">
                <a:hueOff val="0"/>
                <a:satOff val="0"/>
                <a:lumOff val="0"/>
                <a:alphaOff val="0"/>
              </a:sysClr>
            </a:solidFill>
            <a:latin typeface="Calibri" panose="020F0502020204030204"/>
            <a:ea typeface="+mn-ea"/>
            <a:cs typeface="+mn-cs"/>
          </a:endParaRPr>
        </a:p>
      </dsp:txBody>
      <dsp:txXfrm>
        <a:off x="1530978" y="3837828"/>
        <a:ext cx="0" cy="0"/>
      </dsp:txXfrm>
    </dsp:sp>
    <dsp:sp modelId="{BF1806B7-2550-4FAC-B33B-1DAF3938992D}">
      <dsp:nvSpPr>
        <dsp:cNvPr id="0" name=""/>
        <dsp:cNvSpPr/>
      </dsp:nvSpPr>
      <dsp:spPr>
        <a:xfrm>
          <a:off x="1722935" y="4757477"/>
          <a:ext cx="3603183" cy="429850"/>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080" tIns="5080" rIns="5080" bIns="5080" numCol="1" spcCol="1270" anchor="ctr" anchorCtr="0">
          <a:noAutofit/>
        </a:bodyPr>
        <a:lstStyle/>
        <a:p>
          <a:pPr marL="0" lvl="0" indent="0" algn="ctr" defTabSz="355600">
            <a:lnSpc>
              <a:spcPct val="100000"/>
            </a:lnSpc>
            <a:spcBef>
              <a:spcPct val="0"/>
            </a:spcBef>
            <a:spcAft>
              <a:spcPts val="0"/>
            </a:spcAft>
            <a:buNone/>
          </a:pPr>
          <a:r>
            <a:rPr lang="ru-RU" sz="8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Лицензионные и иные подобные платежи за использование объектов интеллектуальной собственности, включая роялти, платежи за патенты, товарные знаки, авторские права</a:t>
          </a:r>
        </a:p>
      </dsp:txBody>
      <dsp:txXfrm>
        <a:off x="1735525" y="4770067"/>
        <a:ext cx="3578003" cy="404670"/>
      </dsp:txXfrm>
    </dsp:sp>
  </dsp:spTree>
</dsp:drawing>
</file>

<file path=word/diagrams/drawing4.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D9AFC737-FF95-4180-BEC1-15F3BFBFC8D7}">
      <dsp:nvSpPr>
        <dsp:cNvPr id="0" name=""/>
        <dsp:cNvSpPr/>
      </dsp:nvSpPr>
      <dsp:spPr>
        <a:xfrm>
          <a:off x="3539" y="192552"/>
          <a:ext cx="2319614" cy="867115"/>
        </a:xfrm>
        <a:prstGeom prst="homePlate">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58674" tIns="29337" rIns="14669" bIns="29337"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Базисные условия поставки (базис цены)</a:t>
          </a:r>
        </a:p>
      </dsp:txBody>
      <dsp:txXfrm>
        <a:off x="3539" y="192552"/>
        <a:ext cx="2102835" cy="867115"/>
      </dsp:txXfrm>
    </dsp:sp>
    <dsp:sp modelId="{D1539CF8-341A-4B53-8D9D-3F4FED88EA79}">
      <dsp:nvSpPr>
        <dsp:cNvPr id="0" name=""/>
        <dsp:cNvSpPr/>
      </dsp:nvSpPr>
      <dsp:spPr>
        <a:xfrm>
          <a:off x="1969985" y="184136"/>
          <a:ext cx="1775540" cy="883947"/>
        </a:xfrm>
        <a:prstGeom prst="chevron">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29337" rIns="14669" bIns="29337"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Цена сделки, фактически уплаченная или подлежащая уплате </a:t>
          </a:r>
        </a:p>
      </dsp:txBody>
      <dsp:txXfrm>
        <a:off x="2411959" y="184136"/>
        <a:ext cx="891593" cy="883947"/>
      </dsp:txXfrm>
    </dsp:sp>
    <dsp:sp modelId="{CE7B6A6E-4082-4F4B-9F69-B971DA1A868F}">
      <dsp:nvSpPr>
        <dsp:cNvPr id="0" name=""/>
        <dsp:cNvSpPr/>
      </dsp:nvSpPr>
      <dsp:spPr>
        <a:xfrm>
          <a:off x="3392356" y="184136"/>
          <a:ext cx="1592227" cy="883947"/>
        </a:xfrm>
        <a:prstGeom prst="chevron">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29337" rIns="14669" bIns="29337"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Стоимость сделки</a:t>
          </a:r>
        </a:p>
      </dsp:txBody>
      <dsp:txXfrm>
        <a:off x="3834330" y="184136"/>
        <a:ext cx="708280" cy="883947"/>
      </dsp:txXfrm>
    </dsp:sp>
    <dsp:sp modelId="{A59A310A-811D-4188-9EB0-8167ECF07FDD}">
      <dsp:nvSpPr>
        <dsp:cNvPr id="0" name=""/>
        <dsp:cNvSpPr/>
      </dsp:nvSpPr>
      <dsp:spPr>
        <a:xfrm>
          <a:off x="4631414" y="184136"/>
          <a:ext cx="1765845" cy="883947"/>
        </a:xfrm>
        <a:prstGeom prst="chevron">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4006" tIns="29337" rIns="14669" bIns="29337"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Таможенная стоимость</a:t>
          </a:r>
        </a:p>
      </dsp:txBody>
      <dsp:txXfrm>
        <a:off x="5073388" y="184136"/>
        <a:ext cx="881898" cy="883947"/>
      </dsp:txXfrm>
    </dsp:sp>
  </dsp:spTree>
</dsp:drawing>
</file>

<file path=word/diagrams/drawing5.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1E3241B2-62AC-406D-AD49-0399E6D308FF}">
      <dsp:nvSpPr>
        <dsp:cNvPr id="0" name=""/>
        <dsp:cNvSpPr/>
      </dsp:nvSpPr>
      <dsp:spPr>
        <a:xfrm>
          <a:off x="5465" y="449418"/>
          <a:ext cx="1131292" cy="2766447"/>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Стоимость сделки с идентичными товарами, проданными на том же коммерческом уровне и по существу в том же количестве, что и ввозимые/вывозимые товары</a:t>
          </a:r>
        </a:p>
      </dsp:txBody>
      <dsp:txXfrm>
        <a:off x="38599" y="482552"/>
        <a:ext cx="1065024" cy="2700179"/>
      </dsp:txXfrm>
    </dsp:sp>
    <dsp:sp modelId="{202A991C-DEF5-4C42-AD06-B39C500C6C0C}">
      <dsp:nvSpPr>
        <dsp:cNvPr id="0" name=""/>
        <dsp:cNvSpPr/>
      </dsp:nvSpPr>
      <dsp:spPr>
        <a:xfrm>
          <a:off x="1249887" y="1692361"/>
          <a:ext cx="239834" cy="280560"/>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ru-RU" sz="1200" kern="1200">
            <a:solidFill>
              <a:sysClr val="windowText" lastClr="000000">
                <a:hueOff val="0"/>
                <a:satOff val="0"/>
                <a:lumOff val="0"/>
                <a:alphaOff val="0"/>
              </a:sysClr>
            </a:solidFill>
            <a:latin typeface="Calibri" panose="020F0502020204030204"/>
            <a:ea typeface="+mn-ea"/>
            <a:cs typeface="+mn-cs"/>
          </a:endParaRPr>
        </a:p>
      </dsp:txBody>
      <dsp:txXfrm>
        <a:off x="1249887" y="1748473"/>
        <a:ext cx="167884" cy="168336"/>
      </dsp:txXfrm>
    </dsp:sp>
    <dsp:sp modelId="{59F6D4DF-16C1-4EF6-8D6A-B121A1BD1A73}">
      <dsp:nvSpPr>
        <dsp:cNvPr id="0" name=""/>
        <dsp:cNvSpPr/>
      </dsp:nvSpPr>
      <dsp:spPr>
        <a:xfrm>
          <a:off x="1589275" y="449418"/>
          <a:ext cx="1131292" cy="2766447"/>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Стоимость сделки с идентичными товарами, проданными на том же коммерческом уровне, но в иных количествах</a:t>
          </a:r>
        </a:p>
      </dsp:txBody>
      <dsp:txXfrm>
        <a:off x="1622409" y="482552"/>
        <a:ext cx="1065024" cy="2700179"/>
      </dsp:txXfrm>
    </dsp:sp>
    <dsp:sp modelId="{E3E46197-C275-4F82-9558-FFC37C4D4C1D}">
      <dsp:nvSpPr>
        <dsp:cNvPr id="0" name=""/>
        <dsp:cNvSpPr/>
      </dsp:nvSpPr>
      <dsp:spPr>
        <a:xfrm>
          <a:off x="2833697" y="1692361"/>
          <a:ext cx="239834" cy="280560"/>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ru-RU" sz="1200" kern="1200">
            <a:solidFill>
              <a:sysClr val="windowText" lastClr="000000">
                <a:hueOff val="0"/>
                <a:satOff val="0"/>
                <a:lumOff val="0"/>
                <a:alphaOff val="0"/>
              </a:sysClr>
            </a:solidFill>
            <a:latin typeface="Calibri" panose="020F0502020204030204"/>
            <a:ea typeface="+mn-ea"/>
            <a:cs typeface="+mn-cs"/>
          </a:endParaRPr>
        </a:p>
      </dsp:txBody>
      <dsp:txXfrm>
        <a:off x="2833697" y="1748473"/>
        <a:ext cx="167884" cy="168336"/>
      </dsp:txXfrm>
    </dsp:sp>
    <dsp:sp modelId="{469D73D0-50BE-481C-9D11-DE35B7604B71}">
      <dsp:nvSpPr>
        <dsp:cNvPr id="0" name=""/>
        <dsp:cNvSpPr/>
      </dsp:nvSpPr>
      <dsp:spPr>
        <a:xfrm>
          <a:off x="3173085" y="449418"/>
          <a:ext cx="1131292" cy="2766447"/>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Стоимость сделки с идентичными товарами, проданными на ином коммерческом уровне, но, по существу, в тех же количествах</a:t>
          </a:r>
        </a:p>
      </dsp:txBody>
      <dsp:txXfrm>
        <a:off x="3206219" y="482552"/>
        <a:ext cx="1065024" cy="2700179"/>
      </dsp:txXfrm>
    </dsp:sp>
    <dsp:sp modelId="{2309A02B-B6A0-4DFB-86BC-01B68BA6BC9D}">
      <dsp:nvSpPr>
        <dsp:cNvPr id="0" name=""/>
        <dsp:cNvSpPr/>
      </dsp:nvSpPr>
      <dsp:spPr>
        <a:xfrm>
          <a:off x="4417507" y="1692361"/>
          <a:ext cx="239834" cy="280560"/>
        </a:xfrm>
        <a:prstGeom prst="rightArrow">
          <a:avLst>
            <a:gd name="adj1" fmla="val 60000"/>
            <a:gd name="adj2" fmla="val 50000"/>
          </a:avLst>
        </a:prstGeom>
        <a:solidFill>
          <a:sysClr val="windowText" lastClr="000000">
            <a:tint val="60000"/>
            <a:hueOff val="0"/>
            <a:satOff val="0"/>
            <a:lumOff val="0"/>
            <a:alphaOff val="0"/>
          </a:sysClr>
        </a:solidFill>
        <a:ln>
          <a:noFill/>
        </a:ln>
        <a:effectLst/>
      </dsp:spPr>
      <dsp:style>
        <a:lnRef idx="0">
          <a:scrgbClr r="0" g="0" b="0"/>
        </a:lnRef>
        <a:fillRef idx="1">
          <a:scrgbClr r="0" g="0" b="0"/>
        </a:fillRef>
        <a:effectRef idx="0">
          <a:scrgbClr r="0" g="0" b="0"/>
        </a:effectRef>
        <a:fontRef idx="minor">
          <a:schemeClr val="lt1"/>
        </a:fontRef>
      </dsp:style>
      <dsp:txBody>
        <a:bodyPr spcFirstLastPara="0" vert="horz" wrap="square" lIns="0" tIns="0" rIns="0" bIns="0" numCol="1" spcCol="1270" anchor="ctr" anchorCtr="0">
          <a:noAutofit/>
        </a:bodyPr>
        <a:lstStyle/>
        <a:p>
          <a:pPr marL="0" lvl="0" indent="0" algn="ctr" defTabSz="533400">
            <a:lnSpc>
              <a:spcPct val="90000"/>
            </a:lnSpc>
            <a:spcBef>
              <a:spcPct val="0"/>
            </a:spcBef>
            <a:spcAft>
              <a:spcPct val="35000"/>
            </a:spcAft>
            <a:buNone/>
          </a:pPr>
          <a:endParaRPr lang="ru-RU" sz="1200" kern="1200">
            <a:solidFill>
              <a:sysClr val="windowText" lastClr="000000">
                <a:hueOff val="0"/>
                <a:satOff val="0"/>
                <a:lumOff val="0"/>
                <a:alphaOff val="0"/>
              </a:sysClr>
            </a:solidFill>
            <a:latin typeface="Calibri" panose="020F0502020204030204"/>
            <a:ea typeface="+mn-ea"/>
            <a:cs typeface="+mn-cs"/>
          </a:endParaRPr>
        </a:p>
      </dsp:txBody>
      <dsp:txXfrm>
        <a:off x="4417507" y="1748473"/>
        <a:ext cx="167884" cy="168336"/>
      </dsp:txXfrm>
    </dsp:sp>
    <dsp:sp modelId="{695EC5EB-5528-41E8-BDD2-F1F7F832A6F8}">
      <dsp:nvSpPr>
        <dsp:cNvPr id="0" name=""/>
        <dsp:cNvSpPr/>
      </dsp:nvSpPr>
      <dsp:spPr>
        <a:xfrm>
          <a:off x="4756895" y="449418"/>
          <a:ext cx="1131292" cy="2766447"/>
        </a:xfrm>
        <a:prstGeom prst="roundRect">
          <a:avLst>
            <a:gd name="adj" fmla="val 10000"/>
          </a:avLst>
        </a:prstGeom>
        <a:solidFill>
          <a:sysClr val="window" lastClr="FFFFFF">
            <a:hueOff val="0"/>
            <a:satOff val="0"/>
            <a:lumOff val="0"/>
            <a:alphaOff val="0"/>
          </a:sysClr>
        </a:solidFill>
        <a:ln w="12700" cap="flat" cmpd="sng" algn="ctr">
          <a:solidFill>
            <a:sysClr val="windowText" lastClr="000000">
              <a:shade val="80000"/>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41910" tIns="41910" rIns="41910" bIns="41910" numCol="1" spcCol="1270" anchor="ctr" anchorCtr="0">
          <a:noAutofit/>
        </a:bodyPr>
        <a:lstStyle/>
        <a:p>
          <a:pPr marL="0" lvl="0" indent="0" algn="ctr" defTabSz="488950">
            <a:lnSpc>
              <a:spcPct val="90000"/>
            </a:lnSpc>
            <a:spcBef>
              <a:spcPct val="0"/>
            </a:spcBef>
            <a:spcAft>
              <a:spcPct val="35000"/>
            </a:spcAft>
            <a:buNone/>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Стоимость сделки с идентичными товарами, проданными на ином коммерческом уровне и в иных количествах, с соответствующей поправкой, учитывающей различия в коммерческом уровне продажи и (или) в количестве товаров</a:t>
          </a:r>
        </a:p>
      </dsp:txBody>
      <dsp:txXfrm>
        <a:off x="4790029" y="482552"/>
        <a:ext cx="1065024" cy="2700179"/>
      </dsp:txXfrm>
    </dsp:sp>
  </dsp:spTree>
</dsp:drawing>
</file>

<file path=word/diagrams/drawing6.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E3FA5D0-7AC8-4217-B308-F07F326EDD07}">
      <dsp:nvSpPr>
        <dsp:cNvPr id="0" name=""/>
        <dsp:cNvSpPr/>
      </dsp:nvSpPr>
      <dsp:spPr>
        <a:xfrm rot="5400000">
          <a:off x="-95871" y="97140"/>
          <a:ext cx="639146" cy="447402"/>
        </a:xfrm>
        <a:prstGeom prst="chevron">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Calibri" panose="020F0502020204030204"/>
              <a:ea typeface="+mn-ea"/>
              <a:cs typeface="+mn-cs"/>
            </a:rPr>
            <a:t>1.</a:t>
          </a:r>
        </a:p>
      </dsp:txBody>
      <dsp:txXfrm rot="-5400000">
        <a:off x="1" y="224969"/>
        <a:ext cx="447402" cy="191744"/>
      </dsp:txXfrm>
    </dsp:sp>
    <dsp:sp modelId="{1A54F7DE-657B-4589-BBFE-AF2F3DD321B1}">
      <dsp:nvSpPr>
        <dsp:cNvPr id="0" name=""/>
        <dsp:cNvSpPr/>
      </dsp:nvSpPr>
      <dsp:spPr>
        <a:xfrm rot="5400000">
          <a:off x="2458188" y="-2010784"/>
          <a:ext cx="415444" cy="4437017"/>
        </a:xfrm>
        <a:prstGeom prst="round2SameRect">
          <a:avLst/>
        </a:prstGeom>
        <a:solidFill>
          <a:sysClr val="windowText" lastClr="000000">
            <a:alpha val="9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ctr" defTabSz="488950">
            <a:lnSpc>
              <a:spcPct val="90000"/>
            </a:lnSpc>
            <a:spcBef>
              <a:spcPct val="0"/>
            </a:spcBef>
            <a:spcAft>
              <a:spcPct val="15000"/>
            </a:spcAft>
            <a:buChar char="•"/>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Контроль правильности выбора таможенной стоимости товаров</a:t>
          </a:r>
        </a:p>
      </dsp:txBody>
      <dsp:txXfrm rot="-5400000">
        <a:off x="447402" y="20282"/>
        <a:ext cx="4416737" cy="374884"/>
      </dsp:txXfrm>
    </dsp:sp>
    <dsp:sp modelId="{F6429CAC-3B6F-43B7-A670-C8BACE4ECB8F}">
      <dsp:nvSpPr>
        <dsp:cNvPr id="0" name=""/>
        <dsp:cNvSpPr/>
      </dsp:nvSpPr>
      <dsp:spPr>
        <a:xfrm rot="5400000">
          <a:off x="-95871" y="602066"/>
          <a:ext cx="639146" cy="447402"/>
        </a:xfrm>
        <a:prstGeom prst="chevron">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Calibri" panose="020F0502020204030204"/>
              <a:ea typeface="+mn-ea"/>
              <a:cs typeface="+mn-cs"/>
            </a:rPr>
            <a:t>2.</a:t>
          </a:r>
        </a:p>
      </dsp:txBody>
      <dsp:txXfrm rot="-5400000">
        <a:off x="1" y="729895"/>
        <a:ext cx="447402" cy="191744"/>
      </dsp:txXfrm>
    </dsp:sp>
    <dsp:sp modelId="{CF1F2BC9-FED6-4DB9-AACA-46AF90302866}">
      <dsp:nvSpPr>
        <dsp:cNvPr id="0" name=""/>
        <dsp:cNvSpPr/>
      </dsp:nvSpPr>
      <dsp:spPr>
        <a:xfrm rot="5400000">
          <a:off x="2458188" y="-1504592"/>
          <a:ext cx="415444" cy="4437017"/>
        </a:xfrm>
        <a:prstGeom prst="round2SameRect">
          <a:avLst/>
        </a:prstGeom>
        <a:solidFill>
          <a:sysClr val="windowText" lastClr="000000">
            <a:alpha val="9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ctr" defTabSz="488950">
            <a:lnSpc>
              <a:spcPct val="100000"/>
            </a:lnSpc>
            <a:spcBef>
              <a:spcPct val="0"/>
            </a:spcBef>
            <a:spcAft>
              <a:spcPts val="0"/>
            </a:spcAft>
            <a:buChar char="•"/>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Контроль правильности завления и определения декларантом структуры контроля таможенной стоимости товаров </a:t>
          </a:r>
        </a:p>
      </dsp:txBody>
      <dsp:txXfrm rot="-5400000">
        <a:off x="447402" y="526474"/>
        <a:ext cx="4416737" cy="374884"/>
      </dsp:txXfrm>
    </dsp:sp>
    <dsp:sp modelId="{241D1613-A35B-497C-A393-53175469D02B}">
      <dsp:nvSpPr>
        <dsp:cNvPr id="0" name=""/>
        <dsp:cNvSpPr/>
      </dsp:nvSpPr>
      <dsp:spPr>
        <a:xfrm rot="5400000">
          <a:off x="-95871" y="1106991"/>
          <a:ext cx="639146" cy="447402"/>
        </a:xfrm>
        <a:prstGeom prst="chevron">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Calibri" panose="020F0502020204030204"/>
              <a:ea typeface="+mn-ea"/>
              <a:cs typeface="+mn-cs"/>
            </a:rPr>
            <a:t>3.</a:t>
          </a:r>
        </a:p>
      </dsp:txBody>
      <dsp:txXfrm rot="-5400000">
        <a:off x="1" y="1234820"/>
        <a:ext cx="447402" cy="191744"/>
      </dsp:txXfrm>
    </dsp:sp>
    <dsp:sp modelId="{B2E431A1-5EB8-47B1-B949-89FC2BB85B9D}">
      <dsp:nvSpPr>
        <dsp:cNvPr id="0" name=""/>
        <dsp:cNvSpPr/>
      </dsp:nvSpPr>
      <dsp:spPr>
        <a:xfrm rot="5400000">
          <a:off x="2458188" y="-999666"/>
          <a:ext cx="415444" cy="4437017"/>
        </a:xfrm>
        <a:prstGeom prst="round2SameRect">
          <a:avLst/>
        </a:prstGeom>
        <a:solidFill>
          <a:sysClr val="windowText" lastClr="000000">
            <a:alpha val="9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ctr" defTabSz="488950">
            <a:lnSpc>
              <a:spcPct val="90000"/>
            </a:lnSpc>
            <a:spcBef>
              <a:spcPct val="0"/>
            </a:spcBef>
            <a:spcAft>
              <a:spcPct val="15000"/>
            </a:spcAft>
            <a:buChar char="•"/>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Контроль предоставляемых документов в соответствии с установленной формой </a:t>
          </a:r>
        </a:p>
      </dsp:txBody>
      <dsp:txXfrm rot="-5400000">
        <a:off x="447402" y="1031400"/>
        <a:ext cx="4416737" cy="374884"/>
      </dsp:txXfrm>
    </dsp:sp>
    <dsp:sp modelId="{5A2105D8-8135-4B4B-8EAA-78DB599C2FD7}">
      <dsp:nvSpPr>
        <dsp:cNvPr id="0" name=""/>
        <dsp:cNvSpPr/>
      </dsp:nvSpPr>
      <dsp:spPr>
        <a:xfrm rot="5400000">
          <a:off x="-95871" y="1611916"/>
          <a:ext cx="639146" cy="447402"/>
        </a:xfrm>
        <a:prstGeom prst="chevron">
          <a:avLst/>
        </a:prstGeom>
        <a:gradFill rotWithShape="0">
          <a:gsLst>
            <a:gs pos="0">
              <a:sysClr val="window" lastClr="FFFFFF">
                <a:hueOff val="0"/>
                <a:satOff val="0"/>
                <a:lumOff val="0"/>
                <a:alphaOff val="0"/>
                <a:satMod val="103000"/>
                <a:lumMod val="102000"/>
                <a:tint val="94000"/>
              </a:sysClr>
            </a:gs>
            <a:gs pos="50000">
              <a:sysClr val="window" lastClr="FFFFFF">
                <a:hueOff val="0"/>
                <a:satOff val="0"/>
                <a:lumOff val="0"/>
                <a:alphaOff val="0"/>
                <a:satMod val="110000"/>
                <a:lumMod val="100000"/>
                <a:shade val="100000"/>
              </a:sysClr>
            </a:gs>
            <a:gs pos="100000">
              <a:sysClr val="window" lastClr="FFFFFF">
                <a:hueOff val="0"/>
                <a:satOff val="0"/>
                <a:lumOff val="0"/>
                <a:alphaOff val="0"/>
                <a:lumMod val="99000"/>
                <a:satMod val="120000"/>
                <a:shade val="78000"/>
              </a:sysClr>
            </a:gs>
          </a:gsLst>
          <a:lin ang="5400000" scaled="0"/>
        </a:gradFill>
        <a:ln>
          <a:noFill/>
        </a:ln>
        <a:effectLst/>
        <a:scene3d>
          <a:camera prst="orthographicFront"/>
          <a:lightRig rig="threePt" dir="t">
            <a:rot lat="0" lon="0" rev="7500000"/>
          </a:lightRig>
        </a:scene3d>
        <a:sp3d prstMaterial="plastic">
          <a:bevelT w="127000" h="25400" prst="relaxedInset"/>
        </a:sp3d>
      </dsp:spPr>
      <dsp:style>
        <a:lnRef idx="0">
          <a:scrgbClr r="0" g="0" b="0"/>
        </a:lnRef>
        <a:fillRef idx="3">
          <a:scrgbClr r="0" g="0" b="0"/>
        </a:fillRef>
        <a:effectRef idx="2">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solidFill>
                <a:sysClr val="windowText" lastClr="000000">
                  <a:hueOff val="0"/>
                  <a:satOff val="0"/>
                  <a:lumOff val="0"/>
                  <a:alphaOff val="0"/>
                </a:sysClr>
              </a:solidFill>
              <a:latin typeface="Calibri" panose="020F0502020204030204"/>
              <a:ea typeface="+mn-ea"/>
              <a:cs typeface="+mn-cs"/>
            </a:rPr>
            <a:t>4.</a:t>
          </a:r>
        </a:p>
      </dsp:txBody>
      <dsp:txXfrm rot="-5400000">
        <a:off x="1" y="1739745"/>
        <a:ext cx="447402" cy="191744"/>
      </dsp:txXfrm>
    </dsp:sp>
    <dsp:sp modelId="{575A87B3-D50A-43CE-A20A-2D36424EBB95}">
      <dsp:nvSpPr>
        <dsp:cNvPr id="0" name=""/>
        <dsp:cNvSpPr/>
      </dsp:nvSpPr>
      <dsp:spPr>
        <a:xfrm rot="5400000">
          <a:off x="2458188" y="-494741"/>
          <a:ext cx="415444" cy="4437017"/>
        </a:xfrm>
        <a:prstGeom prst="round2SameRect">
          <a:avLst/>
        </a:prstGeom>
        <a:solidFill>
          <a:sysClr val="windowText" lastClr="000000">
            <a:alpha val="90000"/>
            <a:tint val="40000"/>
            <a:hueOff val="0"/>
            <a:satOff val="0"/>
            <a:lumOff val="0"/>
            <a:alphaOff val="0"/>
          </a:sysClr>
        </a:solidFill>
        <a:ln w="6350" cap="flat" cmpd="sng" algn="ctr">
          <a:solidFill>
            <a:sysClr val="windowText" lastClr="000000">
              <a:hueOff val="0"/>
              <a:satOff val="0"/>
              <a:lumOff val="0"/>
              <a:alphaOff val="0"/>
            </a:sysClr>
          </a:solidFill>
          <a:prstDash val="solid"/>
          <a:miter lim="800000"/>
        </a:ln>
        <a:effectLst/>
        <a:scene3d>
          <a:camera prst="orthographicFront"/>
          <a:lightRig rig="threePt" dir="t">
            <a:rot lat="0" lon="0" rev="7500000"/>
          </a:lightRig>
        </a:scene3d>
        <a:sp3d extrusionH="190500" prstMaterial="dkEdge">
          <a:bevelT w="135400" h="16350" prst="relaxedInset"/>
          <a:contourClr>
            <a:sysClr val="window" lastClr="FFFFFF"/>
          </a:contourClr>
        </a:sp3d>
      </dsp:spPr>
      <dsp:style>
        <a:lnRef idx="1">
          <a:scrgbClr r="0" g="0" b="0"/>
        </a:lnRef>
        <a:fillRef idx="1">
          <a:scrgbClr r="0" g="0" b="0"/>
        </a:fillRef>
        <a:effectRef idx="2">
          <a:scrgbClr r="0" g="0" b="0"/>
        </a:effectRef>
        <a:fontRef idx="minor"/>
      </dsp:style>
      <dsp:txBody>
        <a:bodyPr spcFirstLastPara="0" vert="horz" wrap="square" lIns="78232" tIns="6985" rIns="6985" bIns="6985" numCol="1" spcCol="1270" anchor="ctr" anchorCtr="0">
          <a:noAutofit/>
        </a:bodyPr>
        <a:lstStyle/>
        <a:p>
          <a:pPr marL="57150" lvl="1" indent="-57150" algn="ctr" defTabSz="488950">
            <a:lnSpc>
              <a:spcPct val="90000"/>
            </a:lnSpc>
            <a:spcBef>
              <a:spcPct val="0"/>
            </a:spcBef>
            <a:spcAft>
              <a:spcPct val="15000"/>
            </a:spcAft>
            <a:buChar char="•"/>
          </a:pPr>
          <a:r>
            <a:rPr lang="ru-RU" sz="1100" kern="1200">
              <a:solidFill>
                <a:sysClr val="windowText" lastClr="000000">
                  <a:hueOff val="0"/>
                  <a:satOff val="0"/>
                  <a:lumOff val="0"/>
                  <a:alphaOff val="0"/>
                </a:sysClr>
              </a:solidFill>
              <a:latin typeface="Times New Roman" panose="02020603050405020304" pitchFamily="18" charset="0"/>
              <a:ea typeface="+mn-ea"/>
              <a:cs typeface="Times New Roman" panose="02020603050405020304" pitchFamily="18" charset="0"/>
            </a:rPr>
            <a:t>Оценка достоверности заявленной декларантом контроля таможенной стоимости товаров с применением системы управления рисками</a:t>
          </a:r>
        </a:p>
      </dsp:txBody>
      <dsp:txXfrm rot="-5400000">
        <a:off x="447402" y="1536325"/>
        <a:ext cx="4416737" cy="374884"/>
      </dsp:txXfrm>
    </dsp:sp>
  </dsp:spTree>
</dsp:drawing>
</file>

<file path=word/diagrams/drawing7.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30711F2-1B40-4653-93DF-406A03B9D7A5}">
      <dsp:nvSpPr>
        <dsp:cNvPr id="0" name=""/>
        <dsp:cNvSpPr/>
      </dsp:nvSpPr>
      <dsp:spPr>
        <a:xfrm>
          <a:off x="1850544" y="1600200"/>
          <a:ext cx="398897" cy="760095"/>
        </a:xfrm>
        <a:custGeom>
          <a:avLst/>
          <a:gdLst/>
          <a:ahLst/>
          <a:cxnLst/>
          <a:rect l="0" t="0" r="0" b="0"/>
          <a:pathLst>
            <a:path>
              <a:moveTo>
                <a:pt x="0" y="0"/>
              </a:moveTo>
              <a:lnTo>
                <a:pt x="199448" y="0"/>
              </a:lnTo>
              <a:lnTo>
                <a:pt x="199448" y="760095"/>
              </a:lnTo>
              <a:lnTo>
                <a:pt x="398897" y="760095"/>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ru-RU" sz="1200" kern="1200"/>
        </a:p>
      </dsp:txBody>
      <dsp:txXfrm>
        <a:off x="2028533" y="1958787"/>
        <a:ext cx="42920" cy="42920"/>
      </dsp:txXfrm>
    </dsp:sp>
    <dsp:sp modelId="{5DB6B597-E921-42E8-AE5F-CAD34E6B5E4E}">
      <dsp:nvSpPr>
        <dsp:cNvPr id="0" name=""/>
        <dsp:cNvSpPr/>
      </dsp:nvSpPr>
      <dsp:spPr>
        <a:xfrm>
          <a:off x="1850544" y="1554479"/>
          <a:ext cx="398897" cy="91440"/>
        </a:xfrm>
        <a:custGeom>
          <a:avLst/>
          <a:gdLst/>
          <a:ahLst/>
          <a:cxnLst/>
          <a:rect l="0" t="0" r="0" b="0"/>
          <a:pathLst>
            <a:path>
              <a:moveTo>
                <a:pt x="0" y="45720"/>
              </a:moveTo>
              <a:lnTo>
                <a:pt x="398897" y="4572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ru-RU" sz="1200" kern="1200">
            <a:latin typeface="Times New Roman" panose="02020603050405020304" pitchFamily="18" charset="0"/>
            <a:cs typeface="Times New Roman" panose="02020603050405020304" pitchFamily="18" charset="0"/>
          </a:endParaRPr>
        </a:p>
      </dsp:txBody>
      <dsp:txXfrm>
        <a:off x="2040020" y="1590227"/>
        <a:ext cx="19944" cy="19944"/>
      </dsp:txXfrm>
    </dsp:sp>
    <dsp:sp modelId="{2D3ECB04-60B7-4534-AF32-A0DB97C5412E}">
      <dsp:nvSpPr>
        <dsp:cNvPr id="0" name=""/>
        <dsp:cNvSpPr/>
      </dsp:nvSpPr>
      <dsp:spPr>
        <a:xfrm>
          <a:off x="1850544" y="840104"/>
          <a:ext cx="398897" cy="760095"/>
        </a:xfrm>
        <a:custGeom>
          <a:avLst/>
          <a:gdLst/>
          <a:ahLst/>
          <a:cxnLst/>
          <a:rect l="0" t="0" r="0" b="0"/>
          <a:pathLst>
            <a:path>
              <a:moveTo>
                <a:pt x="0" y="760095"/>
              </a:moveTo>
              <a:lnTo>
                <a:pt x="199448" y="760095"/>
              </a:lnTo>
              <a:lnTo>
                <a:pt x="199448" y="0"/>
              </a:lnTo>
              <a:lnTo>
                <a:pt x="398897" y="0"/>
              </a:lnTo>
            </a:path>
          </a:pathLst>
        </a:custGeom>
        <a:noFill/>
        <a:ln w="12700" cap="flat" cmpd="sng" algn="ctr">
          <a:solidFill>
            <a:schemeClr val="dk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txBody>
        <a:bodyPr spcFirstLastPara="0" vert="horz" wrap="square" lIns="12700" tIns="0" rIns="12700" bIns="0" numCol="1" spcCol="1270" anchor="ctr" anchorCtr="0">
          <a:noAutofit/>
        </a:bodyPr>
        <a:lstStyle/>
        <a:p>
          <a:pPr marL="0" lvl="0" indent="0" algn="ctr" defTabSz="533400">
            <a:lnSpc>
              <a:spcPct val="90000"/>
            </a:lnSpc>
            <a:spcBef>
              <a:spcPct val="0"/>
            </a:spcBef>
            <a:spcAft>
              <a:spcPct val="35000"/>
            </a:spcAft>
            <a:buNone/>
          </a:pPr>
          <a:endParaRPr lang="ru-RU" sz="1200" kern="1200">
            <a:latin typeface="Times New Roman" panose="02020603050405020304" pitchFamily="18" charset="0"/>
            <a:cs typeface="Times New Roman" panose="02020603050405020304" pitchFamily="18" charset="0"/>
          </a:endParaRPr>
        </a:p>
      </dsp:txBody>
      <dsp:txXfrm>
        <a:off x="2028533" y="1198692"/>
        <a:ext cx="42920" cy="42920"/>
      </dsp:txXfrm>
    </dsp:sp>
    <dsp:sp modelId="{A2382666-A06D-4A0D-80F2-99C9B37C54DB}">
      <dsp:nvSpPr>
        <dsp:cNvPr id="0" name=""/>
        <dsp:cNvSpPr/>
      </dsp:nvSpPr>
      <dsp:spPr>
        <a:xfrm rot="16200000">
          <a:off x="-53693" y="1296162"/>
          <a:ext cx="3200400" cy="60807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Отложенное определение таможенной стоимости по методу 1</a:t>
          </a:r>
        </a:p>
      </dsp:txBody>
      <dsp:txXfrm>
        <a:off x="-53693" y="1296162"/>
        <a:ext cx="3200400" cy="608076"/>
      </dsp:txXfrm>
    </dsp:sp>
    <dsp:sp modelId="{12FEF218-7933-4020-919E-85431EAA34F2}">
      <dsp:nvSpPr>
        <dsp:cNvPr id="0" name=""/>
        <dsp:cNvSpPr/>
      </dsp:nvSpPr>
      <dsp:spPr>
        <a:xfrm>
          <a:off x="2249442" y="536066"/>
          <a:ext cx="1994489" cy="60807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Биржевой товар</a:t>
          </a:r>
        </a:p>
      </dsp:txBody>
      <dsp:txXfrm>
        <a:off x="2249442" y="536066"/>
        <a:ext cx="1994489" cy="608076"/>
      </dsp:txXfrm>
    </dsp:sp>
    <dsp:sp modelId="{DDA3BA3C-A3FD-4A3E-9939-5BB1B2E19280}">
      <dsp:nvSpPr>
        <dsp:cNvPr id="0" name=""/>
        <dsp:cNvSpPr/>
      </dsp:nvSpPr>
      <dsp:spPr>
        <a:xfrm>
          <a:off x="2249442" y="1296161"/>
          <a:ext cx="1994489" cy="60807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Биржевая сделка</a:t>
          </a:r>
        </a:p>
      </dsp:txBody>
      <dsp:txXfrm>
        <a:off x="2249442" y="1296161"/>
        <a:ext cx="1994489" cy="608076"/>
      </dsp:txXfrm>
    </dsp:sp>
    <dsp:sp modelId="{0EE71C13-164F-4E0B-80E9-FB4BF4C1E33D}">
      <dsp:nvSpPr>
        <dsp:cNvPr id="0" name=""/>
        <dsp:cNvSpPr/>
      </dsp:nvSpPr>
      <dsp:spPr>
        <a:xfrm>
          <a:off x="2249442" y="2056257"/>
          <a:ext cx="1994489" cy="608076"/>
        </a:xfrm>
        <a:prstGeom prst="rect">
          <a:avLst/>
        </a:prstGeom>
        <a:solidFill>
          <a:schemeClr val="lt1">
            <a:hueOff val="0"/>
            <a:satOff val="0"/>
            <a:lumOff val="0"/>
            <a:alphaOff val="0"/>
          </a:schemeClr>
        </a:solidFill>
        <a:ln w="12700" cap="flat" cmpd="sng" algn="ctr">
          <a:solidFill>
            <a:schemeClr val="dk1">
              <a:shade val="80000"/>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7620" tIns="7620" rIns="7620" bIns="7620"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anose="02020603050405020304" pitchFamily="18" charset="0"/>
              <a:cs typeface="Times New Roman" panose="02020603050405020304" pitchFamily="18" charset="0"/>
            </a:rPr>
            <a:t>Биржевая цена</a:t>
          </a:r>
        </a:p>
      </dsp:txBody>
      <dsp:txXfrm>
        <a:off x="2249442" y="2056257"/>
        <a:ext cx="1994489" cy="608076"/>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lProcess1">
  <dgm:title val=""/>
  <dgm:desc val=""/>
  <dgm:catLst>
    <dgm:cat type="process" pri="1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0" destId="2" srcOrd="0" destOrd="0"/>
        <dgm:cxn modelId="6" srcId="1" destId="3" srcOrd="1" destOrd="0"/>
        <dgm:cxn modelId="23" srcId="2" destId="21" srcOrd="0" destOrd="0"/>
        <dgm:cxn modelId="24" srcId="2" destId="22" srcOrd="1" destOrd="0"/>
        <dgm:cxn modelId="33" srcId="1" destId="31" srcOrd="0" destOrd="0"/>
      </dgm:cxnLst>
      <dgm:bg/>
      <dgm:whole/>
    </dgm:dataModel>
  </dgm:sampData>
  <dgm:styleData>
    <dgm:dataModel>
      <dgm:ptLst>
        <dgm:pt modelId="0" type="doc"/>
        <dgm:pt modelId="1"/>
        <dgm:pt modelId="11"/>
        <dgm:pt modelId="2"/>
        <dgm:pt modelId="22"/>
      </dgm:ptLst>
      <dgm:cxnLst>
        <dgm:cxn modelId="3" srcId="0" destId="1" srcOrd="0" destOrd="0"/>
        <dgm:cxn modelId="4" srcId="0" destId="2" srcOrd="0" destOrd="0"/>
        <dgm:cxn modelId="5" srcId="1" destId="11" srcOrd="0" destOrd="0"/>
        <dgm:cxn modelId="6" srcId="2" destId="22"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51" srcId="1" destId="11" srcOrd="0" destOrd="0"/>
        <dgm:cxn modelId="61" srcId="2" destId="21" srcOrd="0" destOrd="0"/>
        <dgm:cxn modelId="71" srcId="3" destId="31" srcOrd="0" destOrd="0"/>
        <dgm:cxn modelId="81" srcId="4" destId="41" srcOrd="0" destOrd="0"/>
      </dgm:cxnLst>
      <dgm:bg/>
      <dgm:whole/>
    </dgm:dataModel>
  </dgm:clrData>
  <dgm:layoutNode name="Name0">
    <dgm:varLst>
      <dgm:dir/>
      <dgm:animLvl val="lvl"/>
      <dgm:resizeHandles val="exact"/>
    </dgm:varLst>
    <dgm:choose name="Name1">
      <dgm:if name="Name2" func="var" arg="dir" op="equ" val="norm">
        <dgm:alg type="lin">
          <dgm:param type="linDir" val="fromL"/>
          <dgm:param type="vertAlign" val="mid"/>
          <dgm:param type="nodeHorzAlign" val="l"/>
          <dgm:param type="nodeVertAlign" val="t"/>
          <dgm:param type="fallback" val="2D"/>
        </dgm:alg>
      </dgm:if>
      <dgm:else name="Name3">
        <dgm:alg type="lin">
          <dgm:param type="linDir" val="fromR"/>
          <dgm:param type="vertAlign" val="mid"/>
          <dgm:param type="nodeHorzAlign" val="r"/>
          <dgm:param type="nodeVertAlign" val="t"/>
          <dgm:param type="fallback" val="2D"/>
        </dgm:alg>
      </dgm:else>
    </dgm:choose>
    <dgm:shape xmlns:r="http://schemas.openxmlformats.org/officeDocument/2006/relationships" r:blip="">
      <dgm:adjLst/>
    </dgm:shape>
    <dgm:presOf/>
    <dgm:constrLst>
      <dgm:constr type="h" for="des" forName="header" refType="h"/>
      <dgm:constr type="w" for="des" forName="header" refType="h" refFor="des" refForName="header" op="equ" fact="4"/>
      <dgm:constr type="h" for="des" forName="child" refType="h" refFor="des" refForName="header" op="equ"/>
      <dgm:constr type="w" for="des" forName="child" refType="w" refFor="des" refForName="header" op="equ"/>
      <dgm:constr type="w" for="ch" forName="hSp" refType="w" refFor="des" refForName="header" op="equ" fact="0.14"/>
      <dgm:constr type="h" for="des" forName="parTrans" refType="h" refFor="des" refForName="header" op="equ" fact="0.35"/>
      <dgm:constr type="h" for="des" forName="sibTrans" refType="h" refFor="des" refForName="parTrans" op="equ"/>
      <dgm:constr type="primFontSz" for="des" forName="child" op="equ" val="65"/>
      <dgm:constr type="primFontSz" for="des" forName="header" op="equ" val="65"/>
    </dgm:constrLst>
    <dgm:ruleLst/>
    <dgm:forEach name="Name4" axis="ch" ptType="node">
      <dgm:layoutNode name="vertFlow">
        <dgm:choose name="Name5">
          <dgm:if name="Name6" func="var" arg="dir" op="equ" val="norm">
            <dgm:alg type="lin">
              <dgm:param type="linDir" val="fromT"/>
              <dgm:param type="nodeHorzAlign" val="ctr"/>
              <dgm:param type="nodeVertAlign" val="t"/>
              <dgm:param type="fallback" val="2D"/>
            </dgm:alg>
          </dgm:if>
          <dgm:else name="Name7">
            <dgm:alg type="lin">
              <dgm:param type="linDir" val="fromT"/>
              <dgm:param type="nodeHorzAlign" val="ctr"/>
              <dgm:param type="nodeVertAlign" val="t"/>
              <dgm:param type="fallback" val="2D"/>
            </dgm:alg>
          </dgm:else>
        </dgm:choose>
        <dgm:shape xmlns:r="http://schemas.openxmlformats.org/officeDocument/2006/relationships" r:blip="">
          <dgm:adjLst/>
        </dgm:shape>
        <dgm:presOf/>
        <dgm:constrLst/>
        <dgm:ruleLst/>
        <dgm:layoutNode name="header" styleLbl="node1">
          <dgm:alg type="tx"/>
          <dgm:shape xmlns:r="http://schemas.openxmlformats.org/officeDocument/2006/relationships" type="roundRect" r:blip="">
            <dgm:adjLst>
              <dgm:adj idx="1" val="0.1"/>
            </dgm:adjLst>
          </dgm:shape>
          <dgm:presOf axis="self"/>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8" axis="ch" ptType="parTrans" cnt="1">
          <dgm:layoutNode name="par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connDist" fact="0.25"/>
              <dgm:constr type="endPad" refType="connDist" fact="0.25"/>
            </dgm:constrLst>
            <dgm:ruleLst/>
          </dgm:layoutNode>
        </dgm:forEach>
        <dgm:forEach name="Name9" axis="ch" ptType="node">
          <dgm:layoutNode name="child" styleLbl="alignAccFollowNode1">
            <dgm:varLst>
              <dgm:chMax val="0"/>
              <dgm:bulletEnabled val="1"/>
            </dgm:varLst>
            <dgm:alg type="tx"/>
            <dgm:shape xmlns:r="http://schemas.openxmlformats.org/officeDocument/2006/relationships" type="roundRect" r:blip="">
              <dgm:adjLst>
                <dgm:adj idx="1" val="0.1"/>
              </dgm:adjLst>
            </dgm:shape>
            <dgm:presOf axis="desOrSelf" ptType="node"/>
            <dgm:constrLst>
              <dgm:constr type="tMarg" refType="primFontSz" fact="0.1"/>
              <dgm:constr type="bMarg" refType="primFontSz" fact="0.1"/>
              <dgm:constr type="lMarg" refType="primFontSz" fact="0.1"/>
              <dgm:constr type="rMarg" refType="primFontSz" fact="0.1"/>
            </dgm:constrLst>
            <dgm:ruleLst>
              <dgm:rule type="primFontSz" val="5" fact="NaN" max="NaN"/>
            </dgm:ruleLst>
          </dgm:layoutNode>
          <dgm:forEach name="Name10" axis="followSib" ptType="sibTrans" cnt="1">
            <dgm:layoutNode name="sibTrans" styleLbl="sibTrans2D1">
              <dgm:alg type="conn">
                <dgm:param type="begPts" val="auto"/>
                <dgm:param type="endPts" val="auto"/>
              </dgm:alg>
              <dgm:shape xmlns:r="http://schemas.openxmlformats.org/officeDocument/2006/relationships" type="conn" r:blip="">
                <dgm:adjLst/>
              </dgm:shape>
              <dgm:presOf axis="self"/>
              <dgm:constrLst>
                <dgm:constr type="w" refType="h"/>
                <dgm:constr type="connDist"/>
                <dgm:constr type="wArH" refType="h" fact="0.25"/>
                <dgm:constr type="hArH" refType="wArH" fact="2"/>
                <dgm:constr type="stemThick" refType="hArH" fact="0.667"/>
                <dgm:constr type="begPad" refType="w" fact="0.25"/>
                <dgm:constr type="endPad" refType="w" fact="0.25"/>
              </dgm:constrLst>
              <dgm:ruleLst/>
            </dgm:layoutNode>
          </dgm:forEach>
        </dgm:forEach>
      </dgm:layoutNode>
      <dgm:choose name="Name11">
        <dgm:if name="Name12" axis="self" ptType="node" func="revPos" op="gte" val="2">
          <dgm:layoutNode name="hSp">
            <dgm:alg type="sp"/>
            <dgm:shape xmlns:r="http://schemas.openxmlformats.org/officeDocument/2006/relationships" r:blip="">
              <dgm:adjLst/>
            </dgm:shape>
            <dgm:presOf/>
            <dgm:constrLst/>
            <dgm:ruleLst/>
          </dgm:layoutNode>
        </dgm:if>
        <dgm:else name="Name13"/>
      </dgm:choose>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2">
  <dgm:title val=""/>
  <dgm:desc val=""/>
  <dgm:catLst>
    <dgm:cat type="hierarchy" pri="5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diagram">
    <dgm:varLst>
      <dgm:chPref val="1"/>
      <dgm:dir/>
      <dgm:animOne val="branch"/>
      <dgm:animLvl val="lvl"/>
      <dgm:resizeHandles val="exact"/>
    </dgm:varLst>
    <dgm:choose name="Name0">
      <dgm:if name="Name1" func="var" arg="dir" op="equ" val="norm">
        <dgm:alg type="hierChild">
          <dgm:param type="linDir" val="fromT"/>
          <dgm:param type="chAlign" val="l"/>
        </dgm:alg>
      </dgm:if>
      <dgm:else name="Name2">
        <dgm:alg type="hierChild">
          <dgm:param type="linDir" val="fromT"/>
          <dgm:param type="chAlign" val="r"/>
        </dgm:alg>
      </dgm:else>
    </dgm:choose>
    <dgm:shape xmlns:r="http://schemas.openxmlformats.org/officeDocument/2006/relationships" r:blip="">
      <dgm:adjLst/>
    </dgm:shape>
    <dgm:presOf/>
    <dgm:constrLst>
      <dgm:constr type="h" for="des" ptType="node" refType="h"/>
      <dgm:constr type="w" for="des" ptType="node" refType="h" refFor="des" refPtType="node" fact="2"/>
      <dgm:constr type="sibSp" refType="h" refFor="des" refPtType="node" op="equ" fact="0.15"/>
      <dgm:constr type="sibSp" for="des" forName="level2hierChild" refType="h" refFor="des" refPtType="node" op="equ" fact="0.15"/>
      <dgm:constr type="sibSp" for="des" forName="level3hierChild" refType="h" refFor="des" refPtType="node" op="equ" fact="0.15"/>
      <dgm:constr type="sp" for="des" forName="root1" refType="w" refFor="des" refPtType="node" fact="0.4"/>
      <dgm:constr type="sp" for="des" forName="root2" refType="sp" refFor="des" refForName="root1" op="equ"/>
      <dgm:constr type="primFontSz" for="des" ptType="node" op="equ" val="65"/>
      <dgm:constr type="primFontSz" for="des" forName="connTx" op="equ" val="55"/>
      <dgm:constr type="primFontSz" for="des" forName="connTx" refType="primFontSz" refFor="des" refPtType="node" op="lte" fact="0.8"/>
    </dgm:constrLst>
    <dgm:ruleLst/>
    <dgm:forEach name="Name3" axis="ch">
      <dgm:forEach name="Name4" axis="self" ptType="node">
        <dgm:layoutNode name="root1">
          <dgm:choose name="Name5">
            <dgm:if name="Name6" func="var" arg="dir" op="equ" val="norm">
              <dgm:alg type="hierRoot">
                <dgm:param type="hierAlign" val="lCtrCh"/>
              </dgm:alg>
            </dgm:if>
            <dgm:else name="Name7">
              <dgm:alg type="hierRoot">
                <dgm:param type="hierAlign" val="rCtrCh"/>
              </dgm:alg>
            </dgm:else>
          </dgm:choose>
          <dgm:shape xmlns:r="http://schemas.openxmlformats.org/officeDocument/2006/relationships" r:blip="">
            <dgm:adjLst/>
          </dgm:shape>
          <dgm:presOf/>
          <dgm:constrLst/>
          <dgm:ruleLst/>
          <dgm:layoutNode name="LevelOneTextNode" styleLbl="node0">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2hierChild">
            <dgm:choose name="Name8">
              <dgm:if name="Name9" func="var" arg="dir" op="equ" val="norm">
                <dgm:alg type="hierChild">
                  <dgm:param type="linDir" val="fromT"/>
                  <dgm:param type="chAlign" val="l"/>
                </dgm:alg>
              </dgm:if>
              <dgm:else name="Name10">
                <dgm:alg type="hierChild">
                  <dgm:param type="linDir" val="fromT"/>
                  <dgm:param type="chAlign" val="r"/>
                </dgm:alg>
              </dgm:else>
            </dgm:choose>
            <dgm:shape xmlns:r="http://schemas.openxmlformats.org/officeDocument/2006/relationships" r:blip="">
              <dgm:adjLst/>
            </dgm:shape>
            <dgm:presOf/>
            <dgm:constrLst/>
            <dgm:ruleLst/>
            <dgm:forEach name="repeat" axis="ch">
              <dgm:forEach name="Name11" axis="self" ptType="parTrans" cnt="1">
                <dgm:layoutNode name="conn2-1">
                  <dgm:choose name="Name12">
                    <dgm:if name="Name13" func="var" arg="dir" op="equ" val="norm">
                      <dgm:alg type="conn">
                        <dgm:param type="dim" val="1D"/>
                        <dgm:param type="begPts" val="midR"/>
                        <dgm:param type="endPts" val="midL"/>
                        <dgm:param type="endSty" val="noArr"/>
                      </dgm:alg>
                    </dgm:if>
                    <dgm:else name="Name14">
                      <dgm:alg type="conn">
                        <dgm:param type="dim" val="1D"/>
                        <dgm:param type="begPts" val="midL"/>
                        <dgm:param type="endPts" val="midR"/>
                        <dgm:param type="endSty" val="noArr"/>
                      </dgm:alg>
                    </dgm:else>
                  </dgm:choose>
                  <dgm:shape xmlns:r="http://schemas.openxmlformats.org/officeDocument/2006/relationships" type="conn" r:blip="">
                    <dgm:adjLst/>
                  </dgm:shape>
                  <dgm:presOf axis="self"/>
                  <dgm:constrLst>
                    <dgm:constr type="w" val="1"/>
                    <dgm:constr type="h" val="5"/>
                    <dgm:constr type="connDist"/>
                    <dgm:constr type="begPad"/>
                    <dgm:constr type="endPad"/>
                    <dgm:constr type="userA" for="ch" refType="connDist"/>
                  </dgm:constrLst>
                  <dgm:rule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5" axis="self" ptType="node">
                <dgm:layoutNode name="root2">
                  <dgm:choose name="Name16">
                    <dgm:if name="Name17" func="var" arg="dir" op="equ" val="norm">
                      <dgm:alg type="hierRoot">
                        <dgm:param type="hierAlign" val="lCtrCh"/>
                      </dgm:alg>
                    </dgm:if>
                    <dgm:else name="Name18">
                      <dgm:alg type="hierRoot">
                        <dgm:param type="hierAlign" val="rCtrCh"/>
                      </dgm:alg>
                    </dgm:else>
                  </dgm:choose>
                  <dgm:shape xmlns:r="http://schemas.openxmlformats.org/officeDocument/2006/relationships" r:blip="">
                    <dgm:adjLst/>
                  </dgm:shape>
                  <dgm:presOf/>
                  <dgm:constrLst/>
                  <dgm:ruleLst/>
                  <dgm:layoutNode name="LevelTwoTextNode">
                    <dgm:varLst>
                      <dgm:chPref val="3"/>
                    </dgm:varLst>
                    <dgm:alg type="tx"/>
                    <dgm:shape xmlns:r="http://schemas.openxmlformats.org/officeDocument/2006/relationships" type="roundRect" r:blip="">
                      <dgm:adjLst>
                        <dgm:adj idx="1" val="0.1"/>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5" fact="NaN" max="NaN"/>
                    </dgm:ruleLst>
                  </dgm:layoutNode>
                  <dgm:layoutNode name="level3hierChild">
                    <dgm:choose name="Name19">
                      <dgm:if name="Name20" func="var" arg="dir" op="equ" val="norm">
                        <dgm:alg type="hierChild">
                          <dgm:param type="linDir" val="fromT"/>
                          <dgm:param type="chAlign" val="l"/>
                        </dgm:alg>
                      </dgm:if>
                      <dgm:else name="Name21">
                        <dgm:alg type="hierChild">
                          <dgm:param type="linDir" val="fromT"/>
                          <dgm:param type="chAlign" val="r"/>
                        </dgm:alg>
                      </dgm:else>
                    </dgm:choose>
                    <dgm:shape xmlns:r="http://schemas.openxmlformats.org/officeDocument/2006/relationships" r:blip="">
                      <dgm:adjLst/>
                    </dgm:shape>
                    <dgm:presOf/>
                    <dgm:constrLst/>
                    <dgm:ruleLst/>
                    <dgm:forEach name="Name22" ref="repeat"/>
                  </dgm:layoutNode>
                </dgm:layoutNode>
              </dgm:forEach>
            </dgm:forEach>
          </dgm:layoutNode>
        </dgm:layoutNode>
      </dgm:forEach>
    </dgm:forEach>
  </dgm:layoutNode>
</dgm:layoutDef>
</file>

<file path=word/diagrams/layout4.xml><?xml version="1.0" encoding="utf-8"?>
<dgm:layoutDef xmlns:dgm="http://schemas.openxmlformats.org/drawingml/2006/diagram" xmlns:a="http://schemas.openxmlformats.org/drawingml/2006/main" uniqueId="urn:microsoft.com/office/officeart/2005/8/layout/hChevron3">
  <dgm:title val=""/>
  <dgm:desc val=""/>
  <dgm:catLst>
    <dgm:cat type="process" pri="10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hoose name="Name4">
      <dgm:if name="Name5" axis="root des" func="maxDepth" op="gte" val="2">
        <dgm:constrLst>
          <dgm:constr type="w" for="ch" forName="parAndChTx" refType="w"/>
          <dgm:constr type="primFontSz" for="ch" ptType="node" op="equ"/>
          <dgm:constr type="w" for="ch" forName="parAndChSpace" refType="w" refFor="ch" refForName="parAndChTx" fact="-0.2"/>
          <dgm:constr type="w" for="ch" ptType="sibTrans" op="equ"/>
        </dgm:constrLst>
        <dgm:ruleLst/>
        <dgm:forEach name="Name6" axis="ch" ptType="node">
          <dgm:layoutNode name="parAndChTx">
            <dgm:varLst>
              <dgm:bulletEnabled val="1"/>
            </dgm:varLst>
            <dgm:alg type="tx"/>
            <dgm:choose name="Name7">
              <dgm:if name="Name8" func="var" arg="dir" op="equ" val="norm">
                <dgm:choose name="Name9">
                  <dgm:if name="Name10" axis="self" ptType="node" func="pos" op="equ" val="1">
                    <dgm:shape xmlns:r="http://schemas.openxmlformats.org/officeDocument/2006/relationships"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4"/>
                    </dgm:constrLst>
                  </dgm:if>
                  <dgm:else name="Name11">
                    <dgm:shape xmlns:r="http://schemas.openxmlformats.org/officeDocument/2006/relationships"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if>
              <dgm:else name="Name12">
                <dgm:choose name="Name13">
                  <dgm:if name="Name14" axis="self" ptType="node" func="pos" op="equ" val="1">
                    <dgm:shape xmlns:r="http://schemas.openxmlformats.org/officeDocument/2006/relationships" rot="180" type="homePlate"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4"/>
                      <dgm:constr type="rMarg" refType="w" fact="0.1"/>
                    </dgm:constrLst>
                  </dgm:if>
                  <dgm:else name="Name15">
                    <dgm:shape xmlns:r="http://schemas.openxmlformats.org/officeDocument/2006/relationships" rot="180" type="chevron" r:blip="">
                      <dgm:adjLst>
                        <dgm:adj idx="1" val="0.25"/>
                      </dgm:adjLst>
                    </dgm:shape>
                    <dgm:presOf axis="desOrSelf" ptType="node"/>
                    <dgm:constrLst>
                      <dgm:constr type="h" refType="w" op="equ" fact="0.8"/>
                      <dgm:constr type="primFontSz" val="65"/>
                      <dgm:constr type="tMarg" refType="primFontSz" fact="0.2"/>
                      <dgm:constr type="bMarg" refType="primFontSz" fact="0.2"/>
                      <dgm:constr type="lMarg" refType="w" fact="0.1"/>
                      <dgm:constr type="rMarg" refType="w" fact="0.1"/>
                    </dgm:constrLst>
                  </dgm:else>
                </dgm:choose>
              </dgm:else>
            </dgm:choose>
            <dgm:ruleLst>
              <dgm:rule type="primFontSz" val="5" fact="NaN" max="NaN"/>
            </dgm:ruleLst>
          </dgm:layoutNode>
          <dgm:forEach name="Name16" axis="followSib" ptType="sibTrans" cnt="1">
            <dgm:layoutNode name="parAndChSpace">
              <dgm:alg type="sp"/>
              <dgm:shape xmlns:r="http://schemas.openxmlformats.org/officeDocument/2006/relationships" r:blip="">
                <dgm:adjLst/>
              </dgm:shape>
              <dgm:presOf/>
              <dgm:constrLst/>
              <dgm:ruleLst/>
            </dgm:layoutNode>
          </dgm:forEach>
        </dgm:forEach>
      </dgm:if>
      <dgm:else name="Name17">
        <dgm:constrLst>
          <dgm:constr type="w" for="ch" forName="parTxOnly" refType="w"/>
          <dgm:constr type="primFontSz" for="ch" ptType="node" op="equ"/>
          <dgm:constr type="w" for="ch" forName="parSpace" refType="w" refFor="ch" refForName="parTxOnly" fact="-0.2"/>
          <dgm:constr type="w" for="ch" ptType="sibTrans" op="equ"/>
        </dgm:constrLst>
        <dgm:ruleLst/>
        <dgm:forEach name="Name18" axis="ch" ptType="node">
          <dgm:layoutNode name="parTxOnly">
            <dgm:varLst>
              <dgm:bulletEnabled val="1"/>
            </dgm:varLst>
            <dgm:alg type="tx"/>
            <dgm:presOf axis="desOrSelf" ptType="node"/>
            <dgm:choose name="Name19">
              <dgm:if name="Name20" func="var" arg="dir" op="equ" val="norm">
                <dgm:choose name="Name21">
                  <dgm:if name="Name22" axis="self" ptType="node" func="pos" op="equ" val="1">
                    <dgm:shape xmlns:r="http://schemas.openxmlformats.org/officeDocument/2006/relationships" type="homePlate" r:blip="">
                      <dgm:adjLst/>
                    </dgm:shape>
                    <dgm:constrLst>
                      <dgm:constr type="h" refType="w" op="equ" fact="0.4"/>
                      <dgm:constr type="primFontSz" val="65"/>
                      <dgm:constr type="tMarg" refType="primFontSz" fact="0.21"/>
                      <dgm:constr type="bMarg" refType="primFontSz" fact="0.21"/>
                      <dgm:constr type="lMarg" refType="primFontSz" fact="0.42"/>
                      <dgm:constr type="rMarg" refType="primFontSz" fact="0.105"/>
                    </dgm:constrLst>
                  </dgm:if>
                  <dgm:else name="Name23">
                    <dgm:shape xmlns:r="http://schemas.openxmlformats.org/officeDocument/2006/relationships" type="chevron" r:blip="">
                      <dgm:adjLst/>
                    </dgm:shape>
                    <dgm:constrLst>
                      <dgm:constr type="h" refType="w" op="equ" fact="0.4"/>
                      <dgm:constr type="primFontSz" val="65"/>
                      <dgm:constr type="tMarg" refType="primFontSz" fact="0.21"/>
                      <dgm:constr type="bMarg" refType="primFontSz" fact="0.21"/>
                      <dgm:constr type="lMarg" refType="primFontSz" fact="0.315"/>
                      <dgm:constr type="rMarg" refType="primFontSz" fact="0.105"/>
                    </dgm:constrLst>
                  </dgm:else>
                </dgm:choose>
              </dgm:if>
              <dgm:else name="Name24">
                <dgm:choose name="Name25">
                  <dgm:if name="Name26" axis="self" ptType="node" func="pos" op="equ" val="1">
                    <dgm:shape xmlns:r="http://schemas.openxmlformats.org/officeDocument/2006/relationships" rot="180" type="homePlate"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42"/>
                    </dgm:constrLst>
                  </dgm:if>
                  <dgm:else name="Name27">
                    <dgm:shape xmlns:r="http://schemas.openxmlformats.org/officeDocument/2006/relationships" rot="180" type="chevron" r:blip="">
                      <dgm:adjLst/>
                    </dgm:shape>
                    <dgm:constrLst>
                      <dgm:constr type="h" refType="w" op="equ" fact="0.4"/>
                      <dgm:constr type="primFontSz" val="65"/>
                      <dgm:constr type="tMarg" refType="primFontSz" fact="0.21"/>
                      <dgm:constr type="bMarg" refType="primFontSz" fact="0.21"/>
                      <dgm:constr type="lMarg" refType="primFontSz" fact="0.105"/>
                      <dgm:constr type="rMarg" refType="primFontSz" fact="0.315"/>
                    </dgm:constrLst>
                  </dgm:else>
                </dgm:choose>
              </dgm:else>
            </dgm:choose>
            <dgm:ruleLst>
              <dgm:rule type="primFontSz" val="5" fact="NaN" max="NaN"/>
            </dgm:ruleLst>
          </dgm:layoutNode>
          <dgm:forEach name="Name28" axis="followSib" ptType="sibTrans" cnt="1">
            <dgm:layoutNode name="parSpace">
              <dgm:alg type="sp"/>
              <dgm:shape xmlns:r="http://schemas.openxmlformats.org/officeDocument/2006/relationships" r:blip="">
                <dgm:adjLst/>
              </dgm:shape>
              <dgm:presOf/>
              <dgm:constrLst/>
              <dgm:ruleLst/>
            </dgm:layoutNode>
          </dgm:forEach>
        </dgm:forEach>
      </dgm:else>
    </dgm:choose>
  </dgm:layoutNode>
</dgm:layoutDef>
</file>

<file path=word/diagrams/layout5.xml><?xml version="1.0" encoding="utf-8"?>
<dgm:layoutDef xmlns:dgm="http://schemas.openxmlformats.org/drawingml/2006/diagram" xmlns:a="http://schemas.openxmlformats.org/drawingml/2006/main" uniqueId="urn:microsoft.com/office/officeart/2005/8/layout/process1">
  <dgm:title val=""/>
  <dgm:desc val=""/>
  <dgm:catLst>
    <dgm:cat type="process" pri="1000"/>
    <dgm:cat type="convert" pri="15000"/>
  </dgm:catLst>
  <dgm:sampData useDef="1">
    <dgm:dataModel>
      <dgm:ptLst/>
      <dgm:bg/>
      <dgm:whole/>
    </dgm:dataModel>
  </dgm:sampData>
  <dgm:styleData>
    <dgm:dataModel>
      <dgm:ptLst>
        <dgm:pt modelId="0" type="doc"/>
        <dgm:pt modelId="1"/>
        <dgm:pt modelId="2"/>
      </dgm:ptLst>
      <dgm:cxnLst>
        <dgm:cxn modelId="3" srcId="0" destId="1" srcOrd="0" destOrd="0"/>
        <dgm:cxn modelId="4" srcId="0" destId="2" srcOrd="1" destOrd="0"/>
      </dgm:cxnLst>
      <dgm:bg/>
      <dgm:whole/>
    </dgm:dataModel>
  </dgm:styleData>
  <dgm:clrData>
    <dgm:dataModel>
      <dgm:ptLst>
        <dgm:pt modelId="0" type="doc"/>
        <dgm:pt modelId="1"/>
        <dgm:pt modelId="2"/>
        <dgm:pt modelId="3"/>
        <dgm:pt modelId="4"/>
      </dgm:ptLst>
      <dgm:cxnLst>
        <dgm:cxn modelId="5" srcId="0" destId="1" srcOrd="0" destOrd="0"/>
        <dgm:cxn modelId="6" srcId="0" destId="2" srcOrd="1" destOrd="0"/>
        <dgm:cxn modelId="7" srcId="0" destId="3" srcOrd="2" destOrd="0"/>
        <dgm:cxn modelId="8" srcId="0" destId="4" srcOrd="3"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w" for="ch" ptType="node" refType="w"/>
      <dgm:constr type="h" for="ch" ptType="node" op="equ"/>
      <dgm:constr type="primFontSz" for="ch" ptType="node" op="equ" val="65"/>
      <dgm:constr type="w" for="ch" ptType="sibTrans" refType="w" refFor="ch" refPtType="node" op="equ" fact="0.4"/>
      <dgm:constr type="h" for="ch" ptType="sibTrans" op="equ"/>
      <dgm:constr type="primFontSz" for="des" forName="connectorText" op="equ" val="55"/>
      <dgm:constr type="primFontSz" for="des" forName="connectorText" refType="primFontSz" refFor="ch" refPtType="node" op="lte" fact="0.8"/>
    </dgm:constrLst>
    <dgm:ruleLst/>
    <dgm:forEach name="nodesForEach" axis="ch" ptType="node">
      <dgm:layoutNode name="node">
        <dgm:varLst>
          <dgm:bulletEnabled val="1"/>
        </dgm:varLst>
        <dgm:alg type="tx"/>
        <dgm:shape xmlns:r="http://schemas.openxmlformats.org/officeDocument/2006/relationships" type="roundRect" r:blip="">
          <dgm:adjLst>
            <dgm:adj idx="1" val="0.1"/>
          </dgm:adjLst>
        </dgm:shape>
        <dgm:presOf axis="desOrSelf" ptType="node"/>
        <dgm:constrLst>
          <dgm:constr type="h" refType="w" fact="0.6"/>
          <dgm:constr type="tMarg" refType="primFontSz" fact="0.3"/>
          <dgm:constr type="bMarg" refType="primFontSz" fact="0.3"/>
          <dgm:constr type="lMarg" refType="primFontSz" fact="0.3"/>
          <dgm:constr type="rMarg" refType="primFontSz" fact="0.3"/>
        </dgm:constrLst>
        <dgm:ruleLst>
          <dgm:rule type="primFontSz" val="18" fact="NaN" max="NaN"/>
          <dgm:rule type="h" val="NaN" fact="1.5" max="NaN"/>
          <dgm:rule type="primFontSz" val="5" fact="NaN" max="NaN"/>
          <dgm:rule type="h" val="INF" fact="NaN" max="NaN"/>
        </dgm:ruleLst>
      </dgm:layoutNode>
      <dgm:forEach name="sibTransForEach" axis="followSib" ptType="sibTrans" cnt="1">
        <dgm:layoutNode name="sibTrans">
          <dgm:alg type="conn">
            <dgm:param type="begPts" val="auto"/>
            <dgm:param type="endPts" val="auto"/>
          </dgm:alg>
          <dgm:shape xmlns:r="http://schemas.openxmlformats.org/officeDocument/2006/relationships" type="conn" r:blip="">
            <dgm:adjLst/>
          </dgm:shape>
          <dgm:presOf axis="self"/>
          <dgm:constrLst>
            <dgm:constr type="h" refType="w" fact="0.62"/>
            <dgm:constr type="connDist"/>
            <dgm:constr type="begPad" refType="connDist" fact="0.25"/>
            <dgm:constr type="endPad" refType="connDist" fact="0.22"/>
          </dgm:constrLst>
          <dgm:ruleLst/>
          <dgm:layoutNode name="connectorText">
            <dgm:alg type="tx">
              <dgm:param type="autoTxRot" val="grav"/>
            </dgm:alg>
            <dgm:shape xmlns:r="http://schemas.openxmlformats.org/officeDocument/2006/relationships" type="conn" r:blip="" hideGeom="1">
              <dgm:adjLst/>
            </dgm:shape>
            <dgm:presOf axis="self"/>
            <dgm:constrLst>
              <dgm:constr type="lMarg"/>
              <dgm:constr type="rMarg"/>
              <dgm:constr type="tMarg"/>
              <dgm:constr type="bMarg"/>
            </dgm:constrLst>
            <dgm:ruleLst>
              <dgm:rule type="primFontSz" val="5" fact="NaN" max="NaN"/>
            </dgm:ruleLst>
          </dgm:layoutNode>
        </dgm:layoutNode>
      </dgm:forEach>
    </dgm:forEach>
  </dgm:layoutNode>
</dgm:layoutDef>
</file>

<file path=word/diagrams/layout6.xml><?xml version="1.0" encoding="utf-8"?>
<dgm:layoutDef xmlns:dgm="http://schemas.openxmlformats.org/drawingml/2006/diagram" xmlns:a="http://schemas.openxmlformats.org/drawingml/2006/main" uniqueId="urn:microsoft.com/office/officeart/2005/8/layout/chevron2">
  <dgm:title val=""/>
  <dgm:desc val=""/>
  <dgm:catLst>
    <dgm:cat type="process" pri="12000"/>
    <dgm:cat type="list" pri="16000"/>
    <dgm:cat type="convert" pri="11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Lst>
      <dgm:cxnLst>
        <dgm:cxn modelId="4" srcId="0" destId="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linearFlow">
    <dgm:varLst>
      <dgm:dir/>
      <dgm:animLvl val="lvl"/>
      <dgm:resizeHandles val="exact"/>
    </dgm:varLst>
    <dgm:alg type="lin">
      <dgm:param type="linDir" val="fromT"/>
      <dgm:param type="nodeHorzAlign" val="l"/>
    </dgm:alg>
    <dgm:shape xmlns:r="http://schemas.openxmlformats.org/officeDocument/2006/relationships" r:blip="">
      <dgm:adjLst/>
    </dgm:shape>
    <dgm:presOf/>
    <dgm:constrLst>
      <dgm:constr type="h" for="ch" forName="composite" refType="h"/>
      <dgm:constr type="w" for="ch" forName="composite" refType="w"/>
      <dgm:constr type="h" for="des" forName="parentText" op="equ"/>
      <dgm:constr type="h" for="ch" forName="sp" val="-14.88"/>
      <dgm:constr type="h" for="ch" forName="sp" refType="w" refFor="des" refForName="parentText" op="gte" fact="-0.3"/>
      <dgm:constr type="primFontSz" for="des" forName="parentText" op="equ" val="65"/>
      <dgm:constr type="primFontSz" for="des" forName="descendantText" op="equ" val="65"/>
    </dgm:constrLst>
    <dgm:ruleLst/>
    <dgm:forEach name="Name0" axis="ch" ptType="node">
      <dgm:layoutNode name="composite">
        <dgm:alg type="composite"/>
        <dgm:shape xmlns:r="http://schemas.openxmlformats.org/officeDocument/2006/relationships" r:blip="">
          <dgm:adjLst/>
        </dgm:shape>
        <dgm:presOf/>
        <dgm:choose name="Name1">
          <dgm:if name="Name2" func="var" arg="dir" op="equ" val="norm">
            <dgm:constrLst>
              <dgm:constr type="t" for="ch" forName="parentText"/>
              <dgm:constr type="l" for="ch" forName="parentText"/>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refType="w" refFor="ch" refForName="pare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if>
          <dgm:else name="Name3">
            <dgm:constrLst>
              <dgm:constr type="t" for="ch" forName="parentText"/>
              <dgm:constr type="r" for="ch" forName="parentText" refType="w"/>
              <dgm:constr type="w" for="ch" forName="parentText" refType="w" fact="0.4"/>
              <dgm:constr type="h" for="ch" forName="parentText" refType="h"/>
              <dgm:constr type="w" for="ch" forName="parentText" refType="w" op="lte" fact="0.5"/>
              <dgm:constr type="w" for="ch" forName="parentText" refType="h" refFor="ch" refForName="parentText" op="lte" fact="0.7"/>
              <dgm:constr type="h" for="ch" forName="parentText" refType="w" refFor="ch" refForName="parentText" op="lte" fact="3"/>
              <dgm:constr type="l" for="ch" forName="descendantText"/>
              <dgm:constr type="w" for="ch" forName="descendantText" refType="w"/>
              <dgm:constr type="wOff" for="ch" forName="descendantText" refType="w" refFor="ch" refForName="parentText" fact="-1"/>
              <dgm:constr type="t" for="ch" forName="descendantText"/>
              <dgm:constr type="b" for="ch" forName="descendantText" refType="h" refFor="ch" refForName="parentText"/>
              <dgm:constr type="bOff" for="ch" forName="descendantText" refType="w" refFor="ch" refForName="parentText" fact="-0.5"/>
            </dgm:constrLst>
          </dgm:else>
        </dgm:choose>
        <dgm:ruleLst/>
        <dgm:layoutNode name="parentText" styleLbl="alignNode1">
          <dgm:varLst>
            <dgm:chMax val="1"/>
            <dgm:bulletEnabled val="1"/>
          </dgm:varLst>
          <dgm:alg type="tx"/>
          <dgm:shape xmlns:r="http://schemas.openxmlformats.org/officeDocument/2006/relationships" rot="90" type="chevron" r:blip="">
            <dgm:adjLst/>
          </dgm:shape>
          <dgm:presOf axis="self" ptType="node"/>
          <dgm:constrLst>
            <dgm:constr type="lMarg" refType="primFontSz" fact="0.05"/>
            <dgm:constr type="rMarg" refType="primFontSz" fact="0.05"/>
            <dgm:constr type="tMarg" refType="primFontSz" fact="0.05"/>
            <dgm:constr type="bMarg" refType="primFontSz" fact="0.05"/>
          </dgm:constrLst>
          <dgm:ruleLst>
            <dgm:rule type="h" val="100" fact="NaN" max="NaN"/>
            <dgm:rule type="primFontSz" val="24" fact="NaN" max="NaN"/>
            <dgm:rule type="h" val="110" fact="NaN" max="NaN"/>
            <dgm:rule type="primFontSz" val="18" fact="NaN" max="NaN"/>
            <dgm:rule type="h" val="INF" fact="NaN" max="NaN"/>
            <dgm:rule type="primFontSz" val="5" fact="NaN" max="NaN"/>
          </dgm:ruleLst>
        </dgm:layoutNode>
        <dgm:layoutNode name="descendantText" styleLbl="alignAcc1">
          <dgm:varLst>
            <dgm:bulletEnabled val="1"/>
          </dgm:varLst>
          <dgm:choose name="Name4">
            <dgm:if name="Name5" func="var" arg="dir" op="equ" val="norm">
              <dgm:alg type="tx">
                <dgm:param type="stBulletLvl" val="1"/>
                <dgm:param type="txAnchorVertCh" val="mid"/>
              </dgm:alg>
              <dgm:shape xmlns:r="http://schemas.openxmlformats.org/officeDocument/2006/relationships" rot="90" type="round2SameRect" r:blip="">
                <dgm:adjLst/>
              </dgm:shape>
            </dgm:if>
            <dgm:else name="Name6">
              <dgm:alg type="tx">
                <dgm:param type="stBulletLvl" val="1"/>
                <dgm:param type="txAnchorVertCh" val="mid"/>
              </dgm:alg>
              <dgm:shape xmlns:r="http://schemas.openxmlformats.org/officeDocument/2006/relationships" rot="-90" type="round2SameRect" r:blip="">
                <dgm:adjLst/>
              </dgm:shape>
            </dgm:else>
          </dgm:choose>
          <dgm:presOf axis="des" ptType="node"/>
          <dgm:choose name="Name7">
            <dgm:if name="Name8" func="var" arg="dir" op="equ" val="norm">
              <dgm:constrLst>
                <dgm:constr type="secFontSz" refType="primFontSz"/>
                <dgm:constr type="tMarg" refType="primFontSz" fact="0.05"/>
                <dgm:constr type="bMarg" refType="primFontSz" fact="0.05"/>
                <dgm:constr type="rMarg" refType="primFontSz" fact="0.05"/>
              </dgm:constrLst>
            </dgm:if>
            <dgm:else name="Name9">
              <dgm:constrLst>
                <dgm:constr type="secFontSz" refType="primFontSz"/>
                <dgm:constr type="tMarg" refType="primFontSz" fact="0.05"/>
                <dgm:constr type="bMarg" refType="primFontSz" fact="0.05"/>
                <dgm:constr type="lMarg" refType="primFontSz" fact="0.05"/>
              </dgm:constrLst>
            </dgm:else>
          </dgm:choose>
          <dgm:ruleLst>
            <dgm:rule type="primFontSz" val="5" fact="NaN" max="NaN"/>
          </dgm:ruleLst>
        </dgm:layoutNode>
      </dgm:layoutNode>
      <dgm:forEach name="Name10" axis="followSib" ptType="sibTrans" cnt="1">
        <dgm:layoutNode name="sp">
          <dgm:alg type="sp"/>
          <dgm:shape xmlns:r="http://schemas.openxmlformats.org/officeDocument/2006/relationships" r:blip="">
            <dgm:adjLst/>
          </dgm:shape>
          <dgm:presOf axis="self"/>
          <dgm:constrLst>
            <dgm:constr type="w" val="1"/>
            <dgm:constr type="h" val="37.5"/>
          </dgm:constrLst>
          <dgm:ruleLst/>
        </dgm:layoutNode>
      </dgm:forEach>
    </dgm:forEach>
  </dgm:layoutNode>
</dgm:layoutDef>
</file>

<file path=word/diagrams/layout7.xml><?xml version="1.0" encoding="utf-8"?>
<dgm:layoutDef xmlns:dgm="http://schemas.openxmlformats.org/drawingml/2006/diagram" xmlns:a="http://schemas.openxmlformats.org/drawingml/2006/main" uniqueId="urn:microsoft.com/office/officeart/2008/layout/HorizontalMultiLevelHierarchy">
  <dgm:title val=""/>
  <dgm:desc val=""/>
  <dgm:catLst>
    <dgm:cat type="hierarchy" pri="46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rSet phldr="1"/>
        </dgm:pt>
        <dgm:pt modelId="11">
          <dgm:prSet phldr="1"/>
        </dgm:pt>
        <dgm:pt modelId="12">
          <dgm:prSet phldr="1"/>
        </dgm:pt>
      </dgm:ptLst>
      <dgm:cxnLst>
        <dgm:cxn modelId="2" srcId="0" destId="1" srcOrd="0" destOrd="0"/>
        <dgm:cxn modelId="3" srcId="1" destId="11" srcOrd="0" destOrd="0"/>
        <dgm:cxn modelId="4" srcId="1" destId="12" srcOrd="1" destOrd="0"/>
      </dgm:cxnLst>
      <dgm:bg/>
      <dgm:whole/>
    </dgm:dataModel>
  </dgm:styleData>
  <dgm:clr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clrData>
  <dgm:layoutNode name="Name0">
    <dgm:varLst>
      <dgm:chPref val="1"/>
      <dgm:dir/>
      <dgm:animOne val="branch"/>
      <dgm:animLvl val="lvl"/>
      <dgm:resizeHandles val="exact"/>
    </dgm:varLst>
    <dgm:choose name="Name1">
      <dgm:if name="Name2" func="var" arg="dir" op="equ" val="norm">
        <dgm:alg type="hierChild">
          <dgm:param type="linDir" val="fromT"/>
          <dgm:param type="chAlign" val="l"/>
        </dgm:alg>
      </dgm:if>
      <dgm:else name="Name3">
        <dgm:alg type="hierChild">
          <dgm:param type="linDir" val="fromT"/>
          <dgm:param type="chAlign" val="r"/>
        </dgm:alg>
      </dgm:else>
    </dgm:choose>
    <dgm:shape xmlns:r="http://schemas.openxmlformats.org/officeDocument/2006/relationships" r:blip="">
      <dgm:adjLst/>
    </dgm:shape>
    <dgm:presOf/>
    <dgm:constrLst>
      <dgm:constr type="h" for="des" forName="LevelOneTextNode" refType="h"/>
      <dgm:constr type="w" for="des" forName="LevelOneTextNode" refType="h" refFor="des" refForName="LevelOneTextNode" fact="0.19"/>
      <dgm:constr type="h" for="des" forName="LevelTwoTextNode" refType="w" refFor="des" refForName="LevelOneTextNode"/>
      <dgm:constr type="w" for="des" forName="LevelTwoTextNode" refType="h" refFor="des" refForName="LevelTwoTextNode" fact="3.28"/>
      <dgm:constr type="sibSp" refType="h" refFor="des" refForName="LevelTwoTextNode" op="equ" fact="0.25"/>
      <dgm:constr type="sibSp" for="des" forName="level2hierChild" refType="h" refFor="des" refForName="LevelTwoTextNode" op="equ" fact="0.25"/>
      <dgm:constr type="sibSp" for="des" forName="level3hierChild" refType="h" refFor="des" refForName="LevelTwoTextNode" op="equ" fact="0.25"/>
      <dgm:constr type="sp" for="des" forName="root1" refType="w" refFor="des" refForName="LevelTwoTextNode" fact="0.2"/>
      <dgm:constr type="sp" for="des" forName="root2" refType="sp" refFor="des" refForName="root1" op="equ"/>
      <dgm:constr type="primFontSz" for="des" forName="LevelOneTextNode" op="equ" val="65"/>
      <dgm:constr type="primFontSz" for="des" forName="LevelTwoTextNode" op="equ" val="65"/>
      <dgm:constr type="primFontSz" for="des" forName="LevelTwoTextNode" refType="primFontSz" refFor="des" refForName="LevelOneTextNode" op="lte"/>
      <dgm:constr type="primFontSz" for="des" forName="connTx" op="equ" val="50"/>
      <dgm:constr type="primFontSz" for="des" forName="connTx" refType="primFontSz" refFor="des" refForName="LevelOneTextNode" op="lte" fact="0.78"/>
    </dgm:constrLst>
    <dgm:forEach name="Name4" axis="ch">
      <dgm:forEach name="Name5" axis="self" ptType="node">
        <dgm:layoutNode name="root1">
          <dgm:choose name="Name6">
            <dgm:if name="Name7" func="var" arg="dir" op="equ" val="norm">
              <dgm:alg type="hierRoot">
                <dgm:param type="hierAlign" val="lCtrCh"/>
              </dgm:alg>
            </dgm:if>
            <dgm:else name="Name8">
              <dgm:alg type="hierRoot">
                <dgm:param type="hierAlign" val="rCtrCh"/>
              </dgm:alg>
            </dgm:else>
          </dgm:choose>
          <dgm:shape xmlns:r="http://schemas.openxmlformats.org/officeDocument/2006/relationships" r:blip="">
            <dgm:adjLst/>
          </dgm:shape>
          <dgm:presOf/>
          <dgm:layoutNode name="LevelOneTextNode" styleLbl="node0">
            <dgm:varLst>
              <dgm:chPref val="3"/>
            </dgm:varLst>
            <dgm:alg type="tx">
              <dgm:param type="autoTxRot" val="grav"/>
            </dgm:alg>
            <dgm:choose name="Name9">
              <dgm:if name="Name10" func="var" arg="dir" op="equ" val="norm">
                <dgm:shape xmlns:r="http://schemas.openxmlformats.org/officeDocument/2006/relationships" rot="270" type="rect" r:blip="">
                  <dgm:adjLst/>
                </dgm:shape>
              </dgm:if>
              <dgm:else name="Name11">
                <dgm:shape xmlns:r="http://schemas.openxmlformats.org/officeDocument/2006/relationships" rot="90" type="rect" r:blip="">
                  <dgm:adjLst/>
                </dgm:shape>
              </dgm:else>
            </dgm:choos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2hierChild">
            <dgm:choose name="Name12">
              <dgm:if name="Name13" func="var" arg="dir" op="equ" val="norm">
                <dgm:alg type="hierChild">
                  <dgm:param type="linDir" val="fromT"/>
                  <dgm:param type="chAlign" val="l"/>
                </dgm:alg>
              </dgm:if>
              <dgm:else name="Name14">
                <dgm:alg type="hierChild">
                  <dgm:param type="linDir" val="fromT"/>
                  <dgm:param type="chAlign" val="r"/>
                </dgm:alg>
              </dgm:else>
            </dgm:choose>
            <dgm:shape xmlns:r="http://schemas.openxmlformats.org/officeDocument/2006/relationships" r:blip="">
              <dgm:adjLst/>
            </dgm:shape>
            <dgm:presOf/>
            <dgm:forEach name="repeat" axis="ch">
              <dgm:forEach name="Name15" axis="self" ptType="parTrans" cnt="1">
                <dgm:layoutNode name="conn2-1">
                  <dgm:choose name="Name16">
                    <dgm:if name="Name17" func="var" arg="dir" op="equ" val="norm">
                      <dgm:alg type="conn">
                        <dgm:param type="dim" val="1D"/>
                        <dgm:param type="begPts" val="midR"/>
                        <dgm:param type="endPts" val="midL"/>
                        <dgm:param type="endSty" val="noArr"/>
                        <dgm:param type="connRout" val="bend"/>
                      </dgm:alg>
                    </dgm:if>
                    <dgm:else name="Name18">
                      <dgm:alg type="conn">
                        <dgm:param type="dim" val="1D"/>
                        <dgm:param type="begPts" val="midL"/>
                        <dgm:param type="endPts" val="midR"/>
                        <dgm:param type="endSty" val="noArr"/>
                        <dgm:param type="connRout" val="bend"/>
                      </dgm:alg>
                    </dgm:else>
                  </dgm:choose>
                  <dgm:shape xmlns:r="http://schemas.openxmlformats.org/officeDocument/2006/relationships" type="conn" r:blip="" zOrderOff="-99999">
                    <dgm:adjLst/>
                  </dgm:shape>
                  <dgm:presOf axis="self"/>
                  <dgm:constrLst>
                    <dgm:constr type="w" val="1"/>
                    <dgm:constr type="h" val="5"/>
                    <dgm:constr type="connDist"/>
                    <dgm:constr type="begPad"/>
                    <dgm:constr type="endPad"/>
                    <dgm:constr type="userA" for="ch" refType="connDist"/>
                  </dgm:constrLst>
                  <dgm:layoutNode name="connTx">
                    <dgm:alg type="tx">
                      <dgm:param type="autoTxRot" val="grav"/>
                    </dgm:alg>
                    <dgm:shape xmlns:r="http://schemas.openxmlformats.org/officeDocument/2006/relationships" type="rect" r:blip="" hideGeom="1">
                      <dgm:adjLst/>
                    </dgm:shape>
                    <dgm:presOf axis="self"/>
                    <dgm:constrLst>
                      <dgm:constr type="userA"/>
                      <dgm:constr type="w" refType="userA" fact="0.05"/>
                      <dgm:constr type="h" refType="userA" fact="0.05"/>
                      <dgm:constr type="lMarg" val="1"/>
                      <dgm:constr type="rMarg" val="1"/>
                      <dgm:constr type="tMarg"/>
                      <dgm:constr type="bMarg"/>
                    </dgm:constrLst>
                    <dgm:ruleLst>
                      <dgm:rule type="h" val="NaN" fact="0.25" max="NaN"/>
                      <dgm:rule type="w" val="NaN" fact="0.8" max="NaN"/>
                      <dgm:rule type="primFontSz" val="5" fact="NaN" max="NaN"/>
                    </dgm:ruleLst>
                  </dgm:layoutNode>
                </dgm:layoutNode>
              </dgm:forEach>
              <dgm:forEach name="Name19" axis="self" ptType="node">
                <dgm:layoutNode name="root2">
                  <dgm:choose name="Name20">
                    <dgm:if name="Name21" func="var" arg="dir" op="equ" val="norm">
                      <dgm:alg type="hierRoot">
                        <dgm:param type="hierAlign" val="lCtrCh"/>
                      </dgm:alg>
                    </dgm:if>
                    <dgm:else name="Name22">
                      <dgm:alg type="hierRoot">
                        <dgm:param type="hierAlign" val="rCtrCh"/>
                      </dgm:alg>
                    </dgm:else>
                  </dgm:choose>
                  <dgm:shape xmlns:r="http://schemas.openxmlformats.org/officeDocument/2006/relationships" r:blip="">
                    <dgm:adjLst/>
                  </dgm:shape>
                  <dgm:presOf/>
                  <dgm:layoutNode name="LevelTwoTextNode">
                    <dgm:varLst>
                      <dgm:chPref val="3"/>
                    </dgm:varLst>
                    <dgm:alg type="tx"/>
                    <dgm:shape xmlns:r="http://schemas.openxmlformats.org/officeDocument/2006/relationships" type="rect" r:blip="">
                      <dgm:adjLst/>
                    </dgm:shape>
                    <dgm:presOf axis="self"/>
                    <dgm:constrLst>
                      <dgm:constr type="tMarg" refType="primFontSz" fact="0.05"/>
                      <dgm:constr type="bMarg" refType="primFontSz" fact="0.05"/>
                      <dgm:constr type="lMarg" refType="primFontSz" fact="0.05"/>
                      <dgm:constr type="rMarg" refType="primFontSz" fact="0.05"/>
                    </dgm:constrLst>
                    <dgm:ruleLst>
                      <dgm:rule type="primFontSz" val="2" fact="NaN" max="NaN"/>
                    </dgm:ruleLst>
                  </dgm:layoutNode>
                  <dgm:layoutNode name="level3hierChild">
                    <dgm:choose name="Name23">
                      <dgm:if name="Name24" func="var" arg="dir" op="equ" val="norm">
                        <dgm:alg type="hierChild">
                          <dgm:param type="linDir" val="fromT"/>
                          <dgm:param type="chAlign" val="l"/>
                        </dgm:alg>
                      </dgm:if>
                      <dgm:else name="Name25">
                        <dgm:alg type="hierChild">
                          <dgm:param type="linDir" val="fromT"/>
                          <dgm:param type="chAlign" val="r"/>
                        </dgm:alg>
                      </dgm:else>
                    </dgm:choose>
                    <dgm:shape xmlns:r="http://schemas.openxmlformats.org/officeDocument/2006/relationships" r:blip="">
                      <dgm:adjLst/>
                    </dgm:shape>
                    <dgm:presOf/>
                    <dgm:forEach name="Name26" ref="repeat"/>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4.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5.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6.xml><?xml version="1.0" encoding="utf-8"?>
<dgm:styleDef xmlns:dgm="http://schemas.openxmlformats.org/drawingml/2006/diagram" xmlns:a="http://schemas.openxmlformats.org/drawingml/2006/main" uniqueId="urn:microsoft.com/office/officeart/2005/8/quickstyle/3d2">
  <dgm:title val=""/>
  <dgm:desc val=""/>
  <dgm:catLst>
    <dgm:cat type="3D" pri="11200"/>
  </dgm:catLst>
  <dgm:scene3d>
    <a:camera prst="orthographicFront"/>
    <a:lightRig rig="threePt" dir="t"/>
  </dgm:scene3d>
  <dgm:styleLbl name="node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lnNode1">
    <dgm:scene3d>
      <a:camera prst="orthographicFront"/>
      <a:lightRig rig="threePt" dir="t">
        <a:rot lat="0" lon="0" rev="7500000"/>
      </a:lightRig>
    </dgm:scene3d>
    <dgm:sp3d prstMaterial="plastic">
      <a:bevelT w="127000" h="25400" prst="relaxedInset"/>
    </dgm:sp3d>
    <dgm:txPr/>
    <dgm:style>
      <a:lnRef idx="1">
        <a:scrgbClr r="0" g="0" b="0"/>
      </a:lnRef>
      <a:fillRef idx="3">
        <a:scrgbClr r="0" g="0" b="0"/>
      </a:fillRef>
      <a:effectRef idx="2">
        <a:scrgbClr r="0" g="0" b="0"/>
      </a:effectRef>
      <a:fontRef idx="minor">
        <a:schemeClr val="lt1"/>
      </a:fontRef>
    </dgm:style>
  </dgm:styleLbl>
  <dgm:styleLbl name="venn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tx1"/>
      </a:fontRef>
    </dgm:style>
  </dgm:styleLbl>
  <dgm:styleLbl name="aling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node4">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fgImgPlace1">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dgm:style>
  </dgm:styleLbl>
  <dgm:styleLbl name="alignImgPlace1">
    <dgm:scene3d>
      <a:camera prst="orthographicFront"/>
      <a:lightRig rig="threePt" dir="t">
        <a:rot lat="0" lon="0" rev="7500000"/>
      </a:lightRig>
    </dgm:scene3d>
    <dgm:sp3d z="2540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bgImgPlace1">
    <dgm:scene3d>
      <a:camera prst="orthographicFront"/>
      <a:lightRig rig="threePt" dir="t">
        <a:rot lat="0" lon="0" rev="7500000"/>
      </a:lightRig>
    </dgm:scene3d>
    <dgm:sp3d z="-152400" extrusionH="63500" contourW="12700" prstMaterial="matte">
      <a:contourClr>
        <a:schemeClr val="lt1"/>
      </a:contourClr>
    </dgm:sp3d>
    <dgm:txPr/>
    <dgm:style>
      <a:lnRef idx="0">
        <a:scrgbClr r="0" g="0" b="0"/>
      </a:lnRef>
      <a:fillRef idx="1">
        <a:scrgbClr r="0" g="0" b="0"/>
      </a:fillRef>
      <a:effectRef idx="0">
        <a:scrgbClr r="0" g="0" b="0"/>
      </a:effectRef>
      <a:fontRef idx="minor"/>
    </dgm:style>
  </dgm:styleLbl>
  <dgm:styleLbl name="sibTrans2D1">
    <dgm:scene3d>
      <a:camera prst="orthographicFront"/>
      <a:lightRig rig="threePt" dir="t">
        <a:rot lat="0" lon="0" rev="7500000"/>
      </a:lightRig>
    </dgm:scene3d>
    <dgm:sp3d z="-700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f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bgSibTrans2D1">
    <dgm:scene3d>
      <a:camera prst="orthographicFront"/>
      <a:lightRig rig="threePt" dir="t">
        <a:rot lat="0" lon="0" rev="7500000"/>
      </a:lightRig>
    </dgm:scene3d>
    <dgm:sp3d z="-152400" extrusionH="63500" prstMaterial="matte">
      <a:bevelT w="25400" h="63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sibTrans1D1">
    <dgm:scene3d>
      <a:camera prst="orthographicFront"/>
      <a:lightRig rig="threePt" dir="t">
        <a:rot lat="0" lon="0" rev="7500000"/>
      </a:lightRig>
    </dgm:scene3d>
    <dgm:sp3d z="-40000" prstMaterial="matte"/>
    <dgm:txPr/>
    <dgm:style>
      <a:lnRef idx="1">
        <a:scrgbClr r="0" g="0" b="0"/>
      </a:lnRef>
      <a:fillRef idx="0">
        <a:scrgbClr r="0" g="0" b="0"/>
      </a:fillRef>
      <a:effectRef idx="0">
        <a:scrgbClr r="0" g="0" b="0"/>
      </a:effectRef>
      <a:fontRef idx="minor"/>
    </dgm:style>
  </dgm:styleLbl>
  <dgm:styleLbl name="callout">
    <dgm:scene3d>
      <a:camera prst="orthographicFront"/>
      <a:lightRig rig="threePt" dir="t">
        <a:rot lat="0" lon="0" rev="7500000"/>
      </a:lightRig>
    </dgm:scene3d>
    <dgm:sp3d z="127000" prstMaterial="matte"/>
    <dgm:txPr/>
    <dgm:style>
      <a:lnRef idx="2">
        <a:scrgbClr r="0" g="0" b="0"/>
      </a:lnRef>
      <a:fillRef idx="1">
        <a:scrgbClr r="0" g="0" b="0"/>
      </a:fillRef>
      <a:effectRef idx="0">
        <a:scrgbClr r="0" g="0" b="0"/>
      </a:effectRef>
      <a:fontRef idx="minor"/>
    </dgm:style>
  </dgm:styleLbl>
  <dgm:styleLbl name="asst0">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1">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2">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asst3">
    <dgm:scene3d>
      <a:camera prst="orthographicFront"/>
      <a:lightRig rig="threePt" dir="t">
        <a:rot lat="0" lon="0" rev="7500000"/>
      </a:lightRig>
    </dgm:scene3d>
    <dgm:sp3d prstMaterial="plastic">
      <a:bevelT w="127000" h="25400" prst="relaxedInset"/>
    </dgm:sp3d>
    <dgm:txPr/>
    <dgm:style>
      <a:lnRef idx="0">
        <a:scrgbClr r="0" g="0" b="0"/>
      </a:lnRef>
      <a:fillRef idx="3">
        <a:scrgbClr r="0" g="0" b="0"/>
      </a:fillRef>
      <a:effectRef idx="2">
        <a:scrgbClr r="0" g="0" b="0"/>
      </a:effectRef>
      <a:fontRef idx="minor">
        <a:schemeClr val="lt1"/>
      </a:fontRef>
    </dgm:style>
  </dgm:styleLbl>
  <dgm:styleLbl name="parChTrans2D1">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parChTrans2D2">
    <dgm:scene3d>
      <a:camera prst="orthographicFront"/>
      <a:lightRig rig="threePt" dir="t">
        <a:rot lat="0" lon="0" rev="7500000"/>
      </a:lightRig>
    </dgm:scene3d>
    <dgm:sp3d extrusionH="63500" prstMaterial="matte">
      <a:bevelT w="50800" h="19050" prst="relaxedInset"/>
      <a:contourClr>
        <a:schemeClr val="bg1"/>
      </a:contourClr>
    </dgm:sp3d>
    <dgm:txPr/>
    <dgm:style>
      <a:lnRef idx="0">
        <a:scrgbClr r="0" g="0" b="0"/>
      </a:lnRef>
      <a:fillRef idx="1">
        <a:scrgbClr r="0" g="0" b="0"/>
      </a:fillRef>
      <a:effectRef idx="0">
        <a:scrgbClr r="0" g="0" b="0"/>
      </a:effectRef>
      <a:fontRef idx="minor">
        <a:schemeClr val="lt1"/>
      </a:fontRef>
    </dgm:style>
  </dgm:styleLbl>
  <dgm:styleLbl name="parChTrans2D3">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2D4">
    <dgm:scene3d>
      <a:camera prst="orthographicFront"/>
      <a:lightRig rig="threePt" dir="t">
        <a:rot lat="0" lon="0" rev="7500000"/>
      </a:lightRig>
    </dgm:scene3d>
    <dgm:sp3d z="60000" prstMaterial="flat">
      <a:bevelT w="120900" h="88900"/>
    </dgm:sp3d>
    <dgm:txPr/>
    <dgm:style>
      <a:lnRef idx="0">
        <a:scrgbClr r="0" g="0" b="0"/>
      </a:lnRef>
      <a:fillRef idx="3">
        <a:scrgbClr r="0" g="0" b="0"/>
      </a:fillRef>
      <a:effectRef idx="1">
        <a:scrgbClr r="0" g="0" b="0"/>
      </a:effectRef>
      <a:fontRef idx="minor">
        <a:schemeClr val="lt1"/>
      </a:fontRef>
    </dgm:style>
  </dgm:styleLbl>
  <dgm:styleLbl name="parChTrans1D1">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a:rot lat="0" lon="0" rev="7500000"/>
      </a:lightRig>
    </dgm:scene3d>
    <dgm:sp3d z="-40000" prstMaterial="matte"/>
    <dgm:txPr/>
    <dgm:style>
      <a:lnRef idx="2">
        <a:scrgbClr r="0" g="0" b="0"/>
      </a:lnRef>
      <a:fillRef idx="0">
        <a:scrgbClr r="0" g="0" b="0"/>
      </a:fillRef>
      <a:effectRef idx="0">
        <a:scrgbClr r="0" g="0" b="0"/>
      </a:effectRef>
      <a:fontRef idx="minor"/>
    </dgm:style>
  </dgm:styleLbl>
  <dgm:styleLbl name="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a:rot lat="0" lon="0" rev="7500000"/>
      </a:lightRig>
    </dgm:scene3d>
    <dgm:sp3d z="152400" extrusionH="63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a:rot lat="0" lon="0" rev="7500000"/>
      </a:lightRig>
    </dgm:scene3d>
    <dgm:sp3d extrusionH="190500" prstMaterial="dkEdge">
      <a:bevelT w="135400" h="16350" prst="relaxedInset"/>
      <a:contourClr>
        <a:schemeClr val="bg1"/>
      </a:contourClr>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a:rot lat="0" lon="0" rev="7500000"/>
      </a:lightRig>
    </dgm:scene3d>
    <dgm:sp3d prstMaterial="plastic">
      <a:bevelT w="127000" h="35400"/>
    </dgm:sp3d>
    <dgm:txPr/>
    <dgm:style>
      <a:lnRef idx="1">
        <a:scrgbClr r="0" g="0" b="0"/>
      </a:lnRef>
      <a:fillRef idx="1">
        <a:scrgbClr r="0" g="0" b="0"/>
      </a:fillRef>
      <a:effectRef idx="2">
        <a:scrgbClr r="0" g="0" b="0"/>
      </a:effectRef>
      <a:fontRef idx="minor">
        <a:schemeClr val="lt1"/>
      </a:fontRef>
    </dgm:style>
  </dgm:styleLbl>
  <dgm:styleLbl name="bgAcc1">
    <dgm:scene3d>
      <a:camera prst="orthographicFront"/>
      <a:lightRig rig="threePt" dir="t">
        <a:rot lat="0" lon="0" rev="7500000"/>
      </a:lightRig>
    </dgm:scene3d>
    <dgm:sp3d z="-152400" extrusionH="63500" prstMaterial="dkEdge">
      <a:bevelT w="124450" h="16350" prst="relaxedInset"/>
      <a:contourClr>
        <a:schemeClr val="bg1"/>
      </a:contourClr>
    </dgm:sp3d>
    <dgm:txPr/>
    <dgm:style>
      <a:lnRef idx="1">
        <a:scrgbClr r="0" g="0" b="0"/>
      </a:lnRef>
      <a:fillRef idx="1">
        <a:scrgbClr r="0" g="0" b="0"/>
      </a:fillRef>
      <a:effectRef idx="0">
        <a:scrgbClr r="0" g="0" b="0"/>
      </a:effectRef>
      <a:fontRef idx="minor"/>
    </dgm:style>
  </dgm:styleLbl>
  <dgm:styleLbl name="solidFgAcc1">
    <dgm:scene3d>
      <a:camera prst="orthographicFront"/>
      <a:lightRig rig="threePt" dir="t">
        <a:rot lat="0" lon="0" rev="7500000"/>
      </a:lightRig>
    </dgm:scene3d>
    <dgm:sp3d z="152400" extrusionH="63500" prstMaterial="dkEdge">
      <a:bevelT w="120800" h="19050" prst="relaxedInset"/>
      <a:contourClr>
        <a:schemeClr val="bg1"/>
      </a:contourClr>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a:rot lat="0" lon="0" rev="7500000"/>
      </a:lightRig>
    </dgm:scene3d>
    <dgm:sp3d extrusionH="190500" prstMaterial="dkEdge">
      <a:bevelT w="120650" h="38100" prst="relaxedInset"/>
      <a:contourClr>
        <a:schemeClr val="bg1"/>
      </a:contourClr>
    </dgm:sp3d>
    <dgm:txPr/>
    <dgm:style>
      <a:lnRef idx="1">
        <a:scrgbClr r="0" g="0" b="0"/>
      </a:lnRef>
      <a:fillRef idx="1">
        <a:scrgbClr r="0" g="0" b="0"/>
      </a:fillRef>
      <a:effectRef idx="2">
        <a:scrgbClr r="0" g="0" b="0"/>
      </a:effectRef>
      <a:fontRef idx="minor"/>
    </dgm:style>
  </dgm:styleLbl>
  <dgm:styleLbl name="solidBgAcc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0">
        <a:scrgbClr r="0" g="0" b="0"/>
      </a:effectRef>
      <a:fontRef idx="minor"/>
    </dgm:style>
  </dgm:styleLbl>
  <dgm:styleLbl name="fgAccFollowNode1">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0">
        <a:scrgbClr r="0" g="0" b="0"/>
      </a:effectRef>
      <a:fontRef idx="minor"/>
    </dgm:style>
  </dgm:styleLbl>
  <dgm:styleLbl name="alignAccFollowNode1">
    <dgm:scene3d>
      <a:camera prst="orthographicFront"/>
      <a:lightRig rig="threePt" dir="t">
        <a:rot lat="0" lon="0" rev="7500000"/>
      </a:lightRig>
    </dgm:scene3d>
    <dgm:sp3d extrusionH="190500" prstMaterial="dkEdge">
      <a:bevelT w="120650" h="38100" prst="relaxedInset"/>
      <a:bevelB w="120650" h="57150" prst="relaxedInset"/>
      <a:contourClr>
        <a:schemeClr val="bg1"/>
      </a:contourClr>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a:rot lat="0" lon="0" rev="7500000"/>
      </a:lightRig>
    </dgm:scene3d>
    <dgm:sp3d z="-152400" extrusionH="63500" prstMaterial="dkEdge">
      <a:bevelT w="144450" h="36350" prst="relaxedInset"/>
      <a:contourClr>
        <a:schemeClr val="bg1"/>
      </a:contourClr>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a:rot lat="0" lon="0" rev="7500000"/>
      </a:lightRig>
    </dgm:scene3d>
    <dgm:sp3d z="152400" extrusionH="63500" prstMaterial="dkEdge">
      <a:bevelT w="125400" h="36350" prst="relaxedInset"/>
      <a:contourClr>
        <a:schemeClr val="bg1"/>
      </a:contourClr>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a:rot lat="0" lon="0" rev="7500000"/>
      </a:lightRig>
    </dgm:scene3d>
    <dgm:sp3d z="-152400" extrusionH="63500" prstMaterial="matte">
      <a:bevelT w="144450" h="6350" prst="relaxedInset"/>
      <a:contourClr>
        <a:schemeClr val="bg1"/>
      </a:contourClr>
    </dgm:sp3d>
    <dgm:txPr/>
    <dgm:style>
      <a:lnRef idx="0">
        <a:scrgbClr r="0" g="0" b="0"/>
      </a:lnRef>
      <a:fillRef idx="3">
        <a:scrgbClr r="0" g="0" b="0"/>
      </a:fillRef>
      <a:effectRef idx="0">
        <a:scrgbClr r="0" g="0" b="0"/>
      </a:effectRef>
      <a:fontRef idx="minor"/>
    </dgm:style>
  </dgm:styleLbl>
  <dgm:styleLbl name="dkBgShp">
    <dgm:scene3d>
      <a:camera prst="orthographicFront"/>
      <a:lightRig rig="threePt" dir="t">
        <a:rot lat="0" lon="0" rev="7500000"/>
      </a:lightRig>
    </dgm:scene3d>
    <dgm:sp3d prstMaterial="plastic">
      <a:bevelT w="127000" h="25400" prst="relaxedInset"/>
      <a:bevelB w="88900" h="121750" prst="angle"/>
    </dgm:sp3d>
    <dgm:txPr/>
    <dgm:style>
      <a:lnRef idx="0">
        <a:scrgbClr r="0" g="0" b="0"/>
      </a:lnRef>
      <a:fillRef idx="1">
        <a:scrgbClr r="0" g="0" b="0"/>
      </a:fillRef>
      <a:effectRef idx="2">
        <a:scrgbClr r="0" g="0" b="0"/>
      </a:effectRef>
      <a:fontRef idx="minor">
        <a:schemeClr val="lt1"/>
      </a:fontRef>
    </dgm:style>
  </dgm:styleLbl>
  <dgm:styleLbl name="trBgShp">
    <dgm:scene3d>
      <a:camera prst="orthographicFront"/>
      <a:lightRig rig="threePt" dir="t"/>
    </dgm:scene3d>
    <dgm:sp3d z="-152400" prstMaterial="matte"/>
    <dgm:txPr/>
    <dgm:style>
      <a:lnRef idx="0">
        <a:scrgbClr r="0" g="0" b="0"/>
      </a:lnRef>
      <a:fillRef idx="1">
        <a:scrgbClr r="0" g="0" b="0"/>
      </a:fillRef>
      <a:effectRef idx="0">
        <a:scrgbClr r="0" g="0" b="0"/>
      </a:effectRef>
      <a:fontRef idx="minor"/>
    </dgm:style>
  </dgm:styleLbl>
  <dgm:styleLbl name="fgShp">
    <dgm:scene3d>
      <a:camera prst="orthographicFront"/>
      <a:lightRig rig="threePt" dir="t">
        <a:rot lat="0" lon="0" rev="7500000"/>
      </a:lightRig>
    </dgm:scene3d>
    <dgm:sp3d z="152400" extrusionH="63500" prstMaterial="matte">
      <a:bevelT w="50800" h="19050" prst="relaxedInset"/>
      <a:contourClr>
        <a:schemeClr val="bg1"/>
      </a:contourClr>
    </dgm:sp3d>
    <dgm:txPr/>
    <dgm:style>
      <a:lnRef idx="0">
        <a:scrgbClr r="0" g="0" b="0"/>
      </a:lnRef>
      <a:fillRef idx="1">
        <a:scrgbClr r="0" g="0" b="0"/>
      </a:fillRef>
      <a:effectRef idx="2">
        <a:scrgbClr r="0" g="0" b="0"/>
      </a:effectRef>
      <a:fontRef idx="minor">
        <a:schemeClr val="lt1"/>
      </a:fontRef>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7.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87B44-4F53-4A18-9839-614CE997D9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86</Pages>
  <Words>20462</Words>
  <Characters>116638</Characters>
  <Application>Microsoft Office Word</Application>
  <DocSecurity>0</DocSecurity>
  <Lines>971</Lines>
  <Paragraphs>273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136827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Наталия Колпакова</cp:lastModifiedBy>
  <cp:revision>2</cp:revision>
  <dcterms:created xsi:type="dcterms:W3CDTF">2024-05-31T05:49:00Z</dcterms:created>
  <dcterms:modified xsi:type="dcterms:W3CDTF">2024-05-31T05:49:00Z</dcterms:modified>
</cp:coreProperties>
</file>